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284" w:type="dxa"/>
        <w:tblLayout w:type="fixed"/>
        <w:tblCellMar>
          <w:left w:w="0" w:type="dxa"/>
          <w:right w:w="0" w:type="dxa"/>
        </w:tblCellMar>
        <w:tblLook w:val="0000" w:firstRow="0" w:lastRow="0" w:firstColumn="0" w:lastColumn="0" w:noHBand="0" w:noVBand="0"/>
      </w:tblPr>
      <w:tblGrid>
        <w:gridCol w:w="2552"/>
        <w:gridCol w:w="2694"/>
        <w:gridCol w:w="2126"/>
        <w:gridCol w:w="2551"/>
      </w:tblGrid>
      <w:tr w:rsidR="00E6250E" w:rsidRPr="004C2285" w14:paraId="70EA6D2C" w14:textId="77777777" w:rsidTr="3E0601E3">
        <w:trPr>
          <w:trHeight w:hRule="exact" w:val="1701"/>
        </w:trPr>
        <w:tc>
          <w:tcPr>
            <w:tcW w:w="2552" w:type="dxa"/>
            <w:vAlign w:val="bottom"/>
          </w:tcPr>
          <w:p w14:paraId="2333B9AD" w14:textId="77777777" w:rsidR="00E6250E" w:rsidRPr="004C2285" w:rsidRDefault="6DB63CF0" w:rsidP="3E0601E3">
            <w:pPr>
              <w:pStyle w:val="En-tte"/>
              <w:ind w:left="-284"/>
            </w:pPr>
            <w:r>
              <w:rPr>
                <w:noProof/>
              </w:rPr>
              <w:drawing>
                <wp:inline distT="0" distB="0" distL="0" distR="0" wp14:anchorId="644CE440" wp14:editId="74DD6515">
                  <wp:extent cx="1490878" cy="996553"/>
                  <wp:effectExtent l="0" t="0" r="0" b="0"/>
                  <wp:docPr id="5463439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0" cstate="print">
                            <a:extLst>
                              <a:ext uri="{28A0092B-C50C-407E-A947-70E740481C1C}">
                                <a14:useLocalDpi xmlns:a14="http://schemas.microsoft.com/office/drawing/2010/main"/>
                              </a:ext>
                            </a:extLst>
                          </a:blip>
                          <a:stretch>
                            <a:fillRect/>
                          </a:stretch>
                        </pic:blipFill>
                        <pic:spPr bwMode="auto">
                          <a:xfrm>
                            <a:off x="0" y="0"/>
                            <a:ext cx="1490878" cy="996553"/>
                          </a:xfrm>
                          <a:prstGeom prst="rect">
                            <a:avLst/>
                          </a:prstGeom>
                          <a:noFill/>
                          <a:ln>
                            <a:noFill/>
                          </a:ln>
                        </pic:spPr>
                      </pic:pic>
                    </a:graphicData>
                  </a:graphic>
                </wp:inline>
              </w:drawing>
            </w:r>
          </w:p>
          <w:p w14:paraId="1266D40D" w14:textId="77777777" w:rsidR="00E6250E" w:rsidRPr="004C2285" w:rsidRDefault="00E6250E" w:rsidP="004C2285">
            <w:pPr>
              <w:pStyle w:val="En-tte"/>
              <w:ind w:left="-284" w:firstLine="284"/>
            </w:pPr>
          </w:p>
        </w:tc>
        <w:tc>
          <w:tcPr>
            <w:tcW w:w="2694" w:type="dxa"/>
            <w:vAlign w:val="center"/>
          </w:tcPr>
          <w:p w14:paraId="0DE1C507" w14:textId="77777777" w:rsidR="00E6250E" w:rsidRPr="004C2285" w:rsidRDefault="1DCF44DC" w:rsidP="004C2285">
            <w:pPr>
              <w:pStyle w:val="En-tte"/>
              <w:tabs>
                <w:tab w:val="clear" w:pos="4320"/>
                <w:tab w:val="clear" w:pos="8640"/>
                <w:tab w:val="left" w:pos="521"/>
              </w:tabs>
              <w:ind w:left="-284"/>
              <w:jc w:val="right"/>
            </w:pPr>
            <w:r>
              <w:rPr>
                <w:noProof/>
              </w:rPr>
              <w:drawing>
                <wp:inline distT="0" distB="0" distL="0" distR="0" wp14:anchorId="6C7BBDCE" wp14:editId="622D6652">
                  <wp:extent cx="1754505" cy="961839"/>
                  <wp:effectExtent l="0" t="0" r="3810" b="0"/>
                  <wp:docPr id="3501804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80481" name="Picture 350180481"/>
                          <pic:cNvPicPr/>
                        </pic:nvPicPr>
                        <pic:blipFill>
                          <a:blip r:embed="rId11">
                            <a:extLst>
                              <a:ext uri="{28A0092B-C50C-407E-A947-70E740481C1C}">
                                <a14:useLocalDpi xmlns:a14="http://schemas.microsoft.com/office/drawing/2010/main"/>
                              </a:ext>
                            </a:extLst>
                          </a:blip>
                          <a:stretch>
                            <a:fillRect/>
                          </a:stretch>
                        </pic:blipFill>
                        <pic:spPr>
                          <a:xfrm>
                            <a:off x="0" y="0"/>
                            <a:ext cx="1754505" cy="961839"/>
                          </a:xfrm>
                          <a:prstGeom prst="rect">
                            <a:avLst/>
                          </a:prstGeom>
                        </pic:spPr>
                      </pic:pic>
                    </a:graphicData>
                  </a:graphic>
                </wp:inline>
              </w:drawing>
            </w:r>
          </w:p>
        </w:tc>
        <w:tc>
          <w:tcPr>
            <w:tcW w:w="2126" w:type="dxa"/>
          </w:tcPr>
          <w:p w14:paraId="295049E7" w14:textId="77777777" w:rsidR="00E6250E" w:rsidRDefault="002E7473" w:rsidP="16FEA504">
            <w:pPr>
              <w:jc w:val="center"/>
            </w:pPr>
            <w:r>
              <w:rPr>
                <w:noProof/>
              </w:rPr>
              <w:drawing>
                <wp:inline distT="0" distB="0" distL="0" distR="0" wp14:anchorId="02BB3395" wp14:editId="62B67BCC">
                  <wp:extent cx="1009650" cy="1078230"/>
                  <wp:effectExtent l="0" t="0" r="0" b="6350"/>
                  <wp:docPr id="5807420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009650" cy="1078230"/>
                          </a:xfrm>
                          <a:prstGeom prst="rect">
                            <a:avLst/>
                          </a:prstGeom>
                          <a:noFill/>
                          <a:ln>
                            <a:noFill/>
                          </a:ln>
                        </pic:spPr>
                      </pic:pic>
                    </a:graphicData>
                  </a:graphic>
                </wp:inline>
              </w:drawing>
            </w:r>
          </w:p>
          <w:p w14:paraId="082FEAC7" w14:textId="77777777" w:rsidR="00BB773C" w:rsidRPr="00BB773C" w:rsidRDefault="00BB773C" w:rsidP="3E0601E3">
            <w:pPr>
              <w:ind w:firstLine="708"/>
              <w:jc w:val="right"/>
              <w:rPr>
                <w:rFonts w:ascii="Arial" w:hAnsi="Arial" w:cs="Arial"/>
                <w:noProof/>
                <w:sz w:val="20"/>
                <w:szCs w:val="20"/>
                <w:highlight w:val="yellow"/>
                <w:lang w:eastAsia="fr-CA"/>
              </w:rPr>
            </w:pPr>
          </w:p>
        </w:tc>
        <w:tc>
          <w:tcPr>
            <w:tcW w:w="2551" w:type="dxa"/>
          </w:tcPr>
          <w:p w14:paraId="314E8F30" w14:textId="77777777" w:rsidR="00E6250E" w:rsidRPr="004C2285" w:rsidRDefault="00E6250E" w:rsidP="004C2285">
            <w:pPr>
              <w:pStyle w:val="En-tte"/>
              <w:tabs>
                <w:tab w:val="clear" w:pos="4320"/>
                <w:tab w:val="clear" w:pos="8640"/>
                <w:tab w:val="left" w:pos="521"/>
              </w:tabs>
              <w:ind w:left="-284"/>
              <w:jc w:val="right"/>
              <w:rPr>
                <w:rFonts w:ascii="Arial" w:hAnsi="Arial" w:cs="Arial"/>
              </w:rPr>
            </w:pPr>
          </w:p>
          <w:p w14:paraId="2DD7F570" w14:textId="77777777" w:rsidR="00E6250E" w:rsidRPr="004C2285" w:rsidRDefault="00E6250E" w:rsidP="004C2285">
            <w:pPr>
              <w:pStyle w:val="En-tte"/>
              <w:tabs>
                <w:tab w:val="clear" w:pos="4320"/>
                <w:tab w:val="clear" w:pos="8640"/>
                <w:tab w:val="left" w:pos="521"/>
              </w:tabs>
              <w:ind w:left="-284"/>
              <w:jc w:val="right"/>
              <w:rPr>
                <w:rFonts w:ascii="Arial" w:hAnsi="Arial" w:cs="Arial"/>
              </w:rPr>
            </w:pPr>
          </w:p>
          <w:p w14:paraId="50EF8AB9" w14:textId="77777777" w:rsidR="00E6250E" w:rsidRPr="004C2285" w:rsidRDefault="00E6250E" w:rsidP="004C2285">
            <w:pPr>
              <w:pStyle w:val="En-tte"/>
              <w:tabs>
                <w:tab w:val="clear" w:pos="4320"/>
                <w:tab w:val="clear" w:pos="8640"/>
                <w:tab w:val="left" w:pos="521"/>
              </w:tabs>
              <w:spacing w:after="240"/>
              <w:ind w:left="-284"/>
              <w:jc w:val="right"/>
              <w:rPr>
                <w:rFonts w:ascii="Arial" w:hAnsi="Arial" w:cs="Arial"/>
              </w:rPr>
            </w:pPr>
          </w:p>
          <w:p w14:paraId="10A9CE86" w14:textId="77777777" w:rsidR="43AB6134" w:rsidRDefault="43AB6134" w:rsidP="43AB6134">
            <w:pPr>
              <w:pStyle w:val="En-tte"/>
              <w:tabs>
                <w:tab w:val="clear" w:pos="4320"/>
                <w:tab w:val="clear" w:pos="8640"/>
                <w:tab w:val="left" w:pos="521"/>
              </w:tabs>
              <w:ind w:left="-284"/>
              <w:jc w:val="right"/>
              <w:rPr>
                <w:rFonts w:asciiTheme="minorHAnsi" w:hAnsiTheme="minorHAnsi" w:cstheme="minorBidi"/>
                <w:b/>
                <w:bCs/>
                <w:sz w:val="22"/>
                <w:szCs w:val="22"/>
              </w:rPr>
            </w:pPr>
          </w:p>
          <w:p w14:paraId="5D64B30F" w14:textId="77777777" w:rsidR="43AB6134" w:rsidRDefault="43AB6134" w:rsidP="43AB6134">
            <w:pPr>
              <w:pStyle w:val="En-tte"/>
              <w:tabs>
                <w:tab w:val="clear" w:pos="4320"/>
                <w:tab w:val="clear" w:pos="8640"/>
                <w:tab w:val="left" w:pos="521"/>
              </w:tabs>
              <w:ind w:left="-284"/>
              <w:jc w:val="right"/>
              <w:rPr>
                <w:rFonts w:asciiTheme="minorHAnsi" w:hAnsiTheme="minorHAnsi" w:cstheme="minorBidi"/>
                <w:b/>
                <w:bCs/>
                <w:sz w:val="22"/>
                <w:szCs w:val="22"/>
              </w:rPr>
            </w:pPr>
          </w:p>
          <w:p w14:paraId="7B36321E" w14:textId="77777777" w:rsidR="43AB6134" w:rsidRDefault="181F38FF" w:rsidP="43AB6134">
            <w:pPr>
              <w:pStyle w:val="En-tte"/>
              <w:tabs>
                <w:tab w:val="clear" w:pos="4320"/>
                <w:tab w:val="clear" w:pos="8640"/>
                <w:tab w:val="left" w:pos="521"/>
              </w:tabs>
              <w:ind w:left="-284"/>
              <w:jc w:val="right"/>
            </w:pPr>
            <w:r w:rsidRPr="7668BE4A">
              <w:rPr>
                <w:rFonts w:asciiTheme="minorHAnsi" w:hAnsiTheme="minorHAnsi" w:cstheme="minorBidi"/>
                <w:b/>
                <w:bCs/>
                <w:sz w:val="22"/>
                <w:szCs w:val="22"/>
              </w:rPr>
              <w:t xml:space="preserve"> </w:t>
            </w:r>
          </w:p>
          <w:p w14:paraId="692DA9C6" w14:textId="77777777" w:rsidR="7668BE4A" w:rsidRDefault="7668BE4A" w:rsidP="7668BE4A">
            <w:pPr>
              <w:pStyle w:val="En-tte"/>
              <w:tabs>
                <w:tab w:val="clear" w:pos="4320"/>
                <w:tab w:val="clear" w:pos="8640"/>
                <w:tab w:val="left" w:pos="521"/>
              </w:tabs>
              <w:ind w:left="-284"/>
              <w:jc w:val="right"/>
              <w:rPr>
                <w:rFonts w:asciiTheme="minorHAnsi" w:hAnsiTheme="minorHAnsi" w:cstheme="minorBidi"/>
                <w:b/>
                <w:bCs/>
                <w:sz w:val="22"/>
                <w:szCs w:val="22"/>
              </w:rPr>
            </w:pPr>
          </w:p>
          <w:p w14:paraId="17D6FAF5" w14:textId="77777777" w:rsidR="7668BE4A" w:rsidRDefault="7668BE4A" w:rsidP="7668BE4A">
            <w:pPr>
              <w:pStyle w:val="En-tte"/>
              <w:tabs>
                <w:tab w:val="clear" w:pos="4320"/>
                <w:tab w:val="clear" w:pos="8640"/>
                <w:tab w:val="left" w:pos="521"/>
              </w:tabs>
              <w:ind w:left="-284"/>
              <w:jc w:val="right"/>
              <w:rPr>
                <w:rFonts w:asciiTheme="minorHAnsi" w:hAnsiTheme="minorHAnsi" w:cstheme="minorBidi"/>
                <w:b/>
                <w:bCs/>
                <w:sz w:val="22"/>
                <w:szCs w:val="22"/>
              </w:rPr>
            </w:pPr>
          </w:p>
          <w:p w14:paraId="2D663D4E" w14:textId="77777777" w:rsidR="43AB6134" w:rsidRDefault="43AB6134" w:rsidP="43AB6134">
            <w:pPr>
              <w:pStyle w:val="En-tte"/>
              <w:tabs>
                <w:tab w:val="clear" w:pos="4320"/>
                <w:tab w:val="clear" w:pos="8640"/>
                <w:tab w:val="left" w:pos="521"/>
              </w:tabs>
              <w:ind w:left="-284"/>
              <w:jc w:val="right"/>
              <w:rPr>
                <w:rFonts w:asciiTheme="minorHAnsi" w:hAnsiTheme="minorHAnsi" w:cstheme="minorBidi"/>
                <w:b/>
                <w:bCs/>
                <w:sz w:val="22"/>
                <w:szCs w:val="22"/>
              </w:rPr>
            </w:pPr>
          </w:p>
          <w:p w14:paraId="464AAAEF" w14:textId="77777777" w:rsidR="00E6250E" w:rsidRPr="00AD03AC" w:rsidRDefault="00E6250E" w:rsidP="004C2285">
            <w:pPr>
              <w:pStyle w:val="En-tte"/>
              <w:tabs>
                <w:tab w:val="clear" w:pos="4320"/>
                <w:tab w:val="clear" w:pos="8640"/>
                <w:tab w:val="left" w:pos="521"/>
              </w:tabs>
              <w:ind w:left="-284"/>
              <w:jc w:val="right"/>
              <w:rPr>
                <w:rFonts w:asciiTheme="minorHAnsi" w:hAnsiTheme="minorHAnsi" w:cstheme="minorHAnsi"/>
                <w:b/>
                <w:sz w:val="22"/>
                <w:szCs w:val="22"/>
              </w:rPr>
            </w:pPr>
            <w:r w:rsidRPr="00AD03AC">
              <w:rPr>
                <w:rFonts w:asciiTheme="minorHAnsi" w:hAnsiTheme="minorHAnsi" w:cstheme="minorHAnsi"/>
                <w:b/>
                <w:sz w:val="22"/>
                <w:szCs w:val="22"/>
              </w:rPr>
              <w:t>Communiqué</w:t>
            </w:r>
          </w:p>
          <w:p w14:paraId="398C653F" w14:textId="77777777" w:rsidR="00E6250E" w:rsidRPr="00AD03AC" w:rsidRDefault="00E6250E" w:rsidP="004C2285">
            <w:pPr>
              <w:pStyle w:val="En-tte"/>
              <w:tabs>
                <w:tab w:val="clear" w:pos="4320"/>
                <w:tab w:val="clear" w:pos="8640"/>
                <w:tab w:val="left" w:pos="521"/>
              </w:tabs>
              <w:ind w:left="-284"/>
              <w:jc w:val="right"/>
              <w:rPr>
                <w:rFonts w:asciiTheme="minorHAnsi" w:hAnsiTheme="minorHAnsi" w:cstheme="minorHAnsi"/>
                <w:b/>
                <w:sz w:val="22"/>
                <w:szCs w:val="22"/>
              </w:rPr>
            </w:pPr>
            <w:r w:rsidRPr="00AD03AC">
              <w:rPr>
                <w:rFonts w:asciiTheme="minorHAnsi" w:hAnsiTheme="minorHAnsi" w:cstheme="minorHAnsi"/>
                <w:b/>
                <w:sz w:val="22"/>
                <w:szCs w:val="22"/>
              </w:rPr>
              <w:t>Pour diffusion immédiate</w:t>
            </w:r>
          </w:p>
          <w:p w14:paraId="5A14F43B" w14:textId="77777777" w:rsidR="00E6250E" w:rsidRPr="004C2285" w:rsidRDefault="00E6250E" w:rsidP="004C2285">
            <w:pPr>
              <w:pStyle w:val="En-tte"/>
              <w:tabs>
                <w:tab w:val="clear" w:pos="4320"/>
                <w:tab w:val="clear" w:pos="8640"/>
                <w:tab w:val="left" w:pos="521"/>
              </w:tabs>
              <w:ind w:left="-284"/>
              <w:jc w:val="right"/>
              <w:rPr>
                <w:rFonts w:ascii="Arial" w:hAnsi="Arial" w:cs="Arial"/>
              </w:rPr>
            </w:pPr>
          </w:p>
        </w:tc>
      </w:tr>
    </w:tbl>
    <w:p w14:paraId="1CB5C097" w14:textId="77777777" w:rsidR="00F01802" w:rsidRPr="000F3E25" w:rsidRDefault="001878AC">
      <w:pPr>
        <w:jc w:val="right"/>
        <w:rPr>
          <w:b/>
          <w:bCs/>
        </w:rPr>
      </w:pPr>
      <w:r w:rsidRPr="000F3E25">
        <w:rPr>
          <w:b/>
          <w:bCs/>
        </w:rPr>
        <w:t>Communiqué</w:t>
      </w:r>
    </w:p>
    <w:p w14:paraId="7B8B4EFC" w14:textId="51A1F01B" w:rsidR="002E7473" w:rsidRPr="000F3E25" w:rsidRDefault="001878AC" w:rsidP="000F3E25">
      <w:pPr>
        <w:jc w:val="right"/>
        <w:rPr>
          <w:b/>
          <w:bCs/>
        </w:rPr>
      </w:pPr>
      <w:r w:rsidRPr="000F3E25">
        <w:rPr>
          <w:b/>
          <w:bCs/>
        </w:rPr>
        <w:t>Pour diffusion immédiate</w:t>
      </w:r>
    </w:p>
    <w:p w14:paraId="2A620A2A" w14:textId="77777777" w:rsidR="002E7473" w:rsidRPr="004C2285" w:rsidRDefault="002E7473" w:rsidP="3E0601E3">
      <w:pPr>
        <w:spacing w:after="0" w:line="240" w:lineRule="auto"/>
        <w:ind w:left="-284"/>
        <w:jc w:val="center"/>
        <w:rPr>
          <w:rFonts w:ascii="Arial" w:hAnsi="Arial" w:cs="Arial"/>
          <w:b/>
          <w:bCs/>
          <w:sz w:val="20"/>
          <w:szCs w:val="20"/>
        </w:rPr>
      </w:pPr>
    </w:p>
    <w:p w14:paraId="0E2CC766" w14:textId="77777777" w:rsidR="00D5008F" w:rsidRPr="002E7473" w:rsidRDefault="00D5008F" w:rsidP="004C2285">
      <w:pPr>
        <w:spacing w:after="0"/>
        <w:ind w:left="-284"/>
        <w:jc w:val="center"/>
        <w:rPr>
          <w:rFonts w:ascii="Arial" w:hAnsi="Arial" w:cs="Arial"/>
          <w:b/>
          <w:bCs/>
          <w:iCs/>
          <w:sz w:val="24"/>
          <w:szCs w:val="24"/>
        </w:rPr>
      </w:pPr>
      <w:r w:rsidRPr="002E7473">
        <w:rPr>
          <w:rFonts w:ascii="Arial" w:hAnsi="Arial" w:cs="Arial"/>
          <w:b/>
          <w:bCs/>
          <w:sz w:val="24"/>
          <w:szCs w:val="24"/>
        </w:rPr>
        <w:t>Appel de candidatures</w:t>
      </w:r>
      <w:r w:rsidRPr="002E7473">
        <w:rPr>
          <w:rFonts w:ascii="Arial" w:hAnsi="Arial" w:cs="Arial"/>
          <w:b/>
          <w:bCs/>
          <w:i/>
          <w:iCs/>
          <w:sz w:val="24"/>
          <w:szCs w:val="24"/>
        </w:rPr>
        <w:t xml:space="preserve"> </w:t>
      </w:r>
    </w:p>
    <w:p w14:paraId="66EA5B3C" w14:textId="77777777" w:rsidR="00D5008F" w:rsidRPr="002E7473" w:rsidRDefault="006E5FA1" w:rsidP="004C2285">
      <w:pPr>
        <w:spacing w:after="0"/>
        <w:ind w:left="-284"/>
        <w:jc w:val="center"/>
        <w:rPr>
          <w:rFonts w:ascii="Arial" w:hAnsi="Arial" w:cs="Arial"/>
          <w:b/>
          <w:bCs/>
          <w:sz w:val="24"/>
          <w:szCs w:val="24"/>
        </w:rPr>
      </w:pPr>
      <w:r w:rsidRPr="002E7473">
        <w:rPr>
          <w:rFonts w:ascii="Arial" w:hAnsi="Arial" w:cs="Arial"/>
          <w:b/>
          <w:bCs/>
          <w:sz w:val="24"/>
          <w:szCs w:val="24"/>
        </w:rPr>
        <w:t>P</w:t>
      </w:r>
      <w:r w:rsidR="00D5008F" w:rsidRPr="002E7473">
        <w:rPr>
          <w:rFonts w:ascii="Arial" w:hAnsi="Arial" w:cs="Arial"/>
          <w:b/>
          <w:bCs/>
          <w:sz w:val="24"/>
          <w:szCs w:val="24"/>
        </w:rPr>
        <w:t xml:space="preserve">rix du CALQ – </w:t>
      </w:r>
      <w:r w:rsidR="002768BF" w:rsidRPr="002E7473">
        <w:rPr>
          <w:rFonts w:ascii="Arial" w:hAnsi="Arial" w:cs="Arial"/>
          <w:b/>
          <w:bCs/>
          <w:sz w:val="24"/>
          <w:szCs w:val="24"/>
        </w:rPr>
        <w:t>Artiste</w:t>
      </w:r>
      <w:r w:rsidR="00D5008F" w:rsidRPr="002E7473">
        <w:rPr>
          <w:rFonts w:ascii="Arial" w:hAnsi="Arial" w:cs="Arial"/>
          <w:b/>
          <w:bCs/>
          <w:sz w:val="24"/>
          <w:szCs w:val="24"/>
        </w:rPr>
        <w:t xml:space="preserve"> de l’année </w:t>
      </w:r>
      <w:r w:rsidR="0038523E" w:rsidRPr="002E7473">
        <w:rPr>
          <w:rFonts w:ascii="Arial" w:hAnsi="Arial" w:cs="Arial"/>
          <w:b/>
          <w:bCs/>
          <w:sz w:val="24"/>
          <w:szCs w:val="24"/>
        </w:rPr>
        <w:t>en Abitibi-Témiscamingue</w:t>
      </w:r>
    </w:p>
    <w:p w14:paraId="47BAFC11" w14:textId="77777777" w:rsidR="00D5008F" w:rsidRPr="002E7473" w:rsidRDefault="00D5008F" w:rsidP="004C2285">
      <w:pPr>
        <w:spacing w:after="0"/>
        <w:ind w:left="-284"/>
        <w:rPr>
          <w:rFonts w:ascii="Arial" w:hAnsi="Arial" w:cs="Arial"/>
          <w:b/>
          <w:bCs/>
          <w:sz w:val="20"/>
          <w:szCs w:val="20"/>
        </w:rPr>
      </w:pPr>
    </w:p>
    <w:p w14:paraId="6B64E7E6" w14:textId="77777777" w:rsidR="00344CB1" w:rsidRPr="002E7473" w:rsidRDefault="00344CB1" w:rsidP="004C2285">
      <w:pPr>
        <w:spacing w:after="0"/>
        <w:ind w:left="-284"/>
        <w:jc w:val="both"/>
        <w:rPr>
          <w:rFonts w:ascii="Arial" w:hAnsi="Arial" w:cs="Arial"/>
          <w:b/>
          <w:bCs/>
          <w:sz w:val="20"/>
          <w:szCs w:val="20"/>
        </w:rPr>
      </w:pPr>
    </w:p>
    <w:p w14:paraId="19214696" w14:textId="594EF49D" w:rsidR="00E6250E" w:rsidRPr="002E7473" w:rsidRDefault="1DD831E1" w:rsidP="1FD67D45">
      <w:pPr>
        <w:spacing w:after="0" w:line="240" w:lineRule="auto"/>
        <w:ind w:left="-284"/>
        <w:jc w:val="both"/>
        <w:rPr>
          <w:rFonts w:asciiTheme="minorHAnsi" w:hAnsiTheme="minorHAnsi" w:cstheme="minorBidi"/>
        </w:rPr>
      </w:pPr>
      <w:r w:rsidRPr="002E7473">
        <w:rPr>
          <w:rFonts w:asciiTheme="minorHAnsi" w:hAnsiTheme="minorHAnsi" w:cstheme="minorBidi"/>
          <w:b/>
          <w:bCs/>
        </w:rPr>
        <w:t>Abitibi-Témiscamingue</w:t>
      </w:r>
      <w:r w:rsidR="70ED9CBB" w:rsidRPr="002E7473">
        <w:rPr>
          <w:rFonts w:asciiTheme="minorHAnsi" w:hAnsiTheme="minorHAnsi" w:cstheme="minorBidi"/>
          <w:b/>
          <w:bCs/>
        </w:rPr>
        <w:t xml:space="preserve">, </w:t>
      </w:r>
      <w:r w:rsidR="396A6951" w:rsidRPr="002E7473">
        <w:rPr>
          <w:rFonts w:asciiTheme="minorHAnsi" w:hAnsiTheme="minorHAnsi" w:cstheme="minorBidi"/>
          <w:b/>
          <w:bCs/>
        </w:rPr>
        <w:t xml:space="preserve">le </w:t>
      </w:r>
      <w:r w:rsidR="00790D3D">
        <w:rPr>
          <w:rFonts w:asciiTheme="minorHAnsi" w:hAnsiTheme="minorHAnsi" w:cstheme="minorBidi"/>
          <w:b/>
          <w:bCs/>
        </w:rPr>
        <w:t xml:space="preserve">2 </w:t>
      </w:r>
      <w:r w:rsidR="396A6951" w:rsidRPr="002E7473">
        <w:rPr>
          <w:rFonts w:asciiTheme="minorHAnsi" w:hAnsiTheme="minorHAnsi" w:cstheme="minorBidi"/>
          <w:b/>
          <w:bCs/>
        </w:rPr>
        <w:t xml:space="preserve">décembre </w:t>
      </w:r>
      <w:r w:rsidR="10D357A3" w:rsidRPr="002E7473">
        <w:rPr>
          <w:rFonts w:asciiTheme="minorHAnsi" w:hAnsiTheme="minorHAnsi" w:cstheme="minorBidi"/>
          <w:b/>
          <w:bCs/>
        </w:rPr>
        <w:t>20</w:t>
      </w:r>
      <w:r w:rsidR="116AD10E" w:rsidRPr="002E7473">
        <w:rPr>
          <w:rFonts w:asciiTheme="minorHAnsi" w:hAnsiTheme="minorHAnsi" w:cstheme="minorBidi"/>
          <w:b/>
          <w:bCs/>
        </w:rPr>
        <w:t>2</w:t>
      </w:r>
      <w:r w:rsidR="3CCDCA77" w:rsidRPr="002E7473">
        <w:rPr>
          <w:rFonts w:asciiTheme="minorHAnsi" w:hAnsiTheme="minorHAnsi" w:cstheme="minorBidi"/>
          <w:b/>
          <w:bCs/>
        </w:rPr>
        <w:t>5</w:t>
      </w:r>
      <w:r w:rsidR="70ED9CBB" w:rsidRPr="002E7473">
        <w:rPr>
          <w:rFonts w:asciiTheme="minorHAnsi" w:hAnsiTheme="minorHAnsi" w:cstheme="minorBidi"/>
          <w:b/>
          <w:bCs/>
        </w:rPr>
        <w:t xml:space="preserve"> –</w:t>
      </w:r>
      <w:r w:rsidR="70ED9CBB" w:rsidRPr="002E7473">
        <w:rPr>
          <w:rFonts w:asciiTheme="minorHAnsi" w:hAnsiTheme="minorHAnsi" w:cstheme="minorBidi"/>
        </w:rPr>
        <w:t xml:space="preserve"> Le </w:t>
      </w:r>
      <w:r w:rsidR="70ED9CBB" w:rsidRPr="002E7473">
        <w:rPr>
          <w:rFonts w:asciiTheme="minorHAnsi" w:hAnsiTheme="minorHAnsi" w:cstheme="minorBidi"/>
          <w:b/>
          <w:bCs/>
        </w:rPr>
        <w:t>Conseil d</w:t>
      </w:r>
      <w:r w:rsidR="2B7014DB" w:rsidRPr="002E7473">
        <w:rPr>
          <w:rFonts w:asciiTheme="minorHAnsi" w:hAnsiTheme="minorHAnsi" w:cstheme="minorBidi"/>
          <w:b/>
          <w:bCs/>
        </w:rPr>
        <w:t>es arts et des lettres du Québec</w:t>
      </w:r>
      <w:r w:rsidR="3B2D37E1" w:rsidRPr="002E7473">
        <w:rPr>
          <w:rFonts w:asciiTheme="minorHAnsi" w:hAnsiTheme="minorHAnsi" w:cstheme="minorBidi"/>
          <w:b/>
          <w:bCs/>
        </w:rPr>
        <w:t xml:space="preserve"> (CALQ)</w:t>
      </w:r>
      <w:r w:rsidR="55E0C359" w:rsidRPr="002E7473">
        <w:rPr>
          <w:rFonts w:asciiTheme="minorHAnsi" w:hAnsiTheme="minorHAnsi" w:cstheme="minorBidi"/>
        </w:rPr>
        <w:t>, en collaboration avec</w:t>
      </w:r>
      <w:r w:rsidR="70ED9CBB" w:rsidRPr="002E7473">
        <w:rPr>
          <w:rFonts w:asciiTheme="minorHAnsi" w:hAnsiTheme="minorHAnsi" w:cstheme="minorBidi"/>
        </w:rPr>
        <w:t xml:space="preserve"> </w:t>
      </w:r>
      <w:r w:rsidR="29C2C87F" w:rsidRPr="002E7473">
        <w:rPr>
          <w:rFonts w:asciiTheme="minorHAnsi" w:hAnsiTheme="minorHAnsi" w:cstheme="minorBidi"/>
          <w:b/>
          <w:bCs/>
        </w:rPr>
        <w:t>le Conseil de la culture de l’Abitibi-Témiscamingue (CCAT)</w:t>
      </w:r>
      <w:r w:rsidR="1ADCB646" w:rsidRPr="002E7473">
        <w:rPr>
          <w:rFonts w:asciiTheme="minorHAnsi" w:hAnsiTheme="minorHAnsi" w:cstheme="minorBidi"/>
        </w:rPr>
        <w:t xml:space="preserve">, </w:t>
      </w:r>
      <w:r w:rsidR="70ED9CBB" w:rsidRPr="002E7473">
        <w:rPr>
          <w:rFonts w:asciiTheme="minorHAnsi" w:hAnsiTheme="minorHAnsi" w:cstheme="minorBidi"/>
        </w:rPr>
        <w:t>la</w:t>
      </w:r>
      <w:r w:rsidR="55E0C359" w:rsidRPr="002E7473">
        <w:rPr>
          <w:rFonts w:asciiTheme="minorHAnsi" w:hAnsiTheme="minorHAnsi" w:cstheme="minorBidi"/>
        </w:rPr>
        <w:t xml:space="preserve">nce un </w:t>
      </w:r>
      <w:r w:rsidR="70ED9CBB" w:rsidRPr="002E7473">
        <w:rPr>
          <w:rFonts w:asciiTheme="minorHAnsi" w:hAnsiTheme="minorHAnsi" w:cstheme="minorBidi"/>
        </w:rPr>
        <w:t>appel de candidatures pour le</w:t>
      </w:r>
      <w:r w:rsidR="70ED9CBB" w:rsidRPr="002E7473">
        <w:rPr>
          <w:rFonts w:asciiTheme="minorHAnsi" w:hAnsiTheme="minorHAnsi" w:cstheme="minorBidi"/>
          <w:i/>
          <w:iCs/>
        </w:rPr>
        <w:t xml:space="preserve"> </w:t>
      </w:r>
      <w:r w:rsidR="1CA4C612" w:rsidRPr="002E7473">
        <w:rPr>
          <w:rFonts w:asciiTheme="minorHAnsi" w:hAnsiTheme="minorHAnsi" w:cstheme="minorBidi"/>
          <w:b/>
          <w:bCs/>
        </w:rPr>
        <w:t>P</w:t>
      </w:r>
      <w:r w:rsidR="70ED9CBB" w:rsidRPr="002E7473">
        <w:rPr>
          <w:rFonts w:asciiTheme="minorHAnsi" w:hAnsiTheme="minorHAnsi" w:cstheme="minorBidi"/>
          <w:b/>
          <w:bCs/>
        </w:rPr>
        <w:t xml:space="preserve">rix du CALQ – </w:t>
      </w:r>
      <w:r w:rsidR="3DE09297" w:rsidRPr="002E7473">
        <w:rPr>
          <w:rFonts w:asciiTheme="minorHAnsi" w:hAnsiTheme="minorHAnsi" w:cstheme="minorBidi"/>
          <w:b/>
          <w:bCs/>
        </w:rPr>
        <w:t>Artiste</w:t>
      </w:r>
      <w:r w:rsidR="70ED9CBB" w:rsidRPr="002E7473">
        <w:rPr>
          <w:rFonts w:asciiTheme="minorHAnsi" w:hAnsiTheme="minorHAnsi" w:cstheme="minorBidi"/>
          <w:b/>
          <w:bCs/>
        </w:rPr>
        <w:t xml:space="preserve"> de l’année </w:t>
      </w:r>
      <w:r w:rsidR="76AF781A" w:rsidRPr="002E7473">
        <w:rPr>
          <w:rFonts w:asciiTheme="minorHAnsi" w:hAnsiTheme="minorHAnsi" w:cstheme="minorBidi"/>
          <w:b/>
          <w:bCs/>
        </w:rPr>
        <w:t>en Abitibi-Témiscamingue</w:t>
      </w:r>
      <w:r w:rsidR="67B05F50" w:rsidRPr="002E7473">
        <w:rPr>
          <w:rFonts w:asciiTheme="minorHAnsi" w:hAnsiTheme="minorHAnsi" w:cstheme="minorBidi"/>
          <w:b/>
          <w:bCs/>
        </w:rPr>
        <w:t xml:space="preserve">. </w:t>
      </w:r>
      <w:r w:rsidR="305A5938" w:rsidRPr="002E7473">
        <w:rPr>
          <w:rFonts w:asciiTheme="minorHAnsi" w:hAnsiTheme="minorHAnsi" w:cstheme="minorBidi"/>
        </w:rPr>
        <w:t xml:space="preserve"> </w:t>
      </w:r>
    </w:p>
    <w:p w14:paraId="2C9DAEDA" w14:textId="77777777" w:rsidR="1FD67D45" w:rsidRPr="002E7473" w:rsidRDefault="1FD67D45" w:rsidP="1FD67D45">
      <w:pPr>
        <w:spacing w:after="0" w:line="240" w:lineRule="auto"/>
        <w:ind w:left="-284"/>
        <w:jc w:val="both"/>
        <w:rPr>
          <w:rFonts w:asciiTheme="minorHAnsi" w:hAnsiTheme="minorHAnsi" w:cstheme="minorBidi"/>
        </w:rPr>
      </w:pPr>
    </w:p>
    <w:p w14:paraId="3849AA2D" w14:textId="045AD4DE" w:rsidR="2A13BF05" w:rsidRPr="002E7473" w:rsidRDefault="2A13BF05" w:rsidP="1FD67D45">
      <w:pPr>
        <w:spacing w:after="0" w:line="240" w:lineRule="auto"/>
        <w:ind w:left="-284"/>
        <w:jc w:val="both"/>
      </w:pPr>
      <w:r w:rsidRPr="002E7473">
        <w:rPr>
          <w:rFonts w:asciiTheme="minorHAnsi" w:hAnsiTheme="minorHAnsi" w:cstheme="minorBidi"/>
        </w:rPr>
        <w:t xml:space="preserve">Cette année, les artistes des domaines des Arts de la scène sont </w:t>
      </w:r>
      <w:proofErr w:type="gramStart"/>
      <w:r w:rsidRPr="002E7473">
        <w:rPr>
          <w:rFonts w:asciiTheme="minorHAnsi" w:hAnsiTheme="minorHAnsi" w:cstheme="minorBidi"/>
        </w:rPr>
        <w:t>invité</w:t>
      </w:r>
      <w:proofErr w:type="gramEnd"/>
      <w:r w:rsidRPr="002E7473">
        <w:rPr>
          <w:rFonts w:asciiTheme="minorHAnsi" w:hAnsiTheme="minorHAnsi" w:cstheme="minorBidi"/>
        </w:rPr>
        <w:t xml:space="preserve">·e·s à déposer leur candidature. Les dossiers doivent être déposés auprès du Conseil au plus tard le </w:t>
      </w:r>
      <w:r w:rsidR="00791668">
        <w:rPr>
          <w:rFonts w:asciiTheme="minorHAnsi" w:hAnsiTheme="minorHAnsi" w:cstheme="minorBidi"/>
        </w:rPr>
        <w:t>10</w:t>
      </w:r>
      <w:r w:rsidRPr="002E7473">
        <w:rPr>
          <w:rFonts w:asciiTheme="minorHAnsi" w:hAnsiTheme="minorHAnsi" w:cstheme="minorBidi"/>
        </w:rPr>
        <w:t xml:space="preserve"> février 2026.</w:t>
      </w:r>
    </w:p>
    <w:p w14:paraId="7D125709" w14:textId="77777777" w:rsidR="00E6250E" w:rsidRPr="002E7473" w:rsidRDefault="00E6250E" w:rsidP="00F513F4">
      <w:pPr>
        <w:spacing w:after="0" w:line="240" w:lineRule="auto"/>
        <w:ind w:left="-284"/>
        <w:jc w:val="both"/>
        <w:rPr>
          <w:rFonts w:asciiTheme="minorHAnsi" w:hAnsiTheme="minorHAnsi" w:cstheme="minorHAnsi"/>
        </w:rPr>
      </w:pPr>
    </w:p>
    <w:p w14:paraId="43A1FA8B" w14:textId="77777777" w:rsidR="002A72B6" w:rsidRPr="002E7473" w:rsidRDefault="005F6790" w:rsidP="00F513F4">
      <w:pPr>
        <w:spacing w:after="0" w:line="240" w:lineRule="auto"/>
        <w:ind w:left="-284"/>
        <w:jc w:val="both"/>
        <w:rPr>
          <w:rFonts w:asciiTheme="minorHAnsi" w:hAnsiTheme="minorHAnsi" w:cstheme="minorHAnsi"/>
        </w:rPr>
      </w:pPr>
      <w:r w:rsidRPr="002E7473">
        <w:rPr>
          <w:rFonts w:asciiTheme="minorHAnsi" w:hAnsiTheme="minorHAnsi" w:cstheme="minorHAnsi"/>
        </w:rPr>
        <w:t>Assorti d’un montant de 10 000 $, l</w:t>
      </w:r>
      <w:r w:rsidR="006E5FA1" w:rsidRPr="002E7473">
        <w:rPr>
          <w:rFonts w:asciiTheme="minorHAnsi" w:hAnsiTheme="minorHAnsi" w:cstheme="minorHAnsi"/>
        </w:rPr>
        <w:t>e P</w:t>
      </w:r>
      <w:r w:rsidR="004E4EC6" w:rsidRPr="002E7473">
        <w:rPr>
          <w:rFonts w:asciiTheme="minorHAnsi" w:hAnsiTheme="minorHAnsi" w:cstheme="minorHAnsi"/>
        </w:rPr>
        <w:t xml:space="preserve">rix du CALQ – Artiste de l’année </w:t>
      </w:r>
      <w:r w:rsidR="00C872A1" w:rsidRPr="002E7473">
        <w:rPr>
          <w:rFonts w:asciiTheme="minorHAnsi" w:hAnsiTheme="minorHAnsi" w:cstheme="minorHAnsi"/>
        </w:rPr>
        <w:t>vise à</w:t>
      </w:r>
      <w:r w:rsidR="004E4EC6" w:rsidRPr="002E7473">
        <w:rPr>
          <w:rFonts w:asciiTheme="minorHAnsi" w:hAnsiTheme="minorHAnsi" w:cstheme="minorHAnsi"/>
        </w:rPr>
        <w:t xml:space="preserve"> reconnaître un</w:t>
      </w:r>
      <w:r w:rsidR="00356385" w:rsidRPr="002E7473">
        <w:rPr>
          <w:rFonts w:asciiTheme="minorHAnsi" w:hAnsiTheme="minorHAnsi" w:cstheme="minorHAnsi"/>
        </w:rPr>
        <w:t xml:space="preserve"> ou une</w:t>
      </w:r>
      <w:r w:rsidR="004E4EC6" w:rsidRPr="002E7473">
        <w:rPr>
          <w:rFonts w:asciiTheme="minorHAnsi" w:hAnsiTheme="minorHAnsi" w:cstheme="minorHAnsi"/>
        </w:rPr>
        <w:t xml:space="preserve"> artiste</w:t>
      </w:r>
      <w:r w:rsidR="00356385" w:rsidRPr="002E7473">
        <w:rPr>
          <w:rFonts w:asciiTheme="minorHAnsi" w:hAnsiTheme="minorHAnsi" w:cstheme="minorHAnsi"/>
        </w:rPr>
        <w:t>,</w:t>
      </w:r>
      <w:r w:rsidR="004E4EC6" w:rsidRPr="002E7473">
        <w:rPr>
          <w:rFonts w:asciiTheme="minorHAnsi" w:hAnsiTheme="minorHAnsi" w:cstheme="minorHAnsi"/>
        </w:rPr>
        <w:t xml:space="preserve"> ou </w:t>
      </w:r>
      <w:r w:rsidR="00356385" w:rsidRPr="002E7473">
        <w:rPr>
          <w:rFonts w:asciiTheme="minorHAnsi" w:hAnsiTheme="minorHAnsi" w:cstheme="minorHAnsi"/>
        </w:rPr>
        <w:t>un écrivain ou une écrivaine</w:t>
      </w:r>
      <w:r w:rsidR="004E4EC6" w:rsidRPr="002E7473">
        <w:rPr>
          <w:rFonts w:asciiTheme="minorHAnsi" w:hAnsiTheme="minorHAnsi" w:cstheme="minorHAnsi"/>
        </w:rPr>
        <w:t xml:space="preserve"> qui se démarque par le dynamisme de son parcours et l’excellence de ses réalisations récentes</w:t>
      </w:r>
      <w:r w:rsidR="00C872A1" w:rsidRPr="002E7473">
        <w:rPr>
          <w:rFonts w:asciiTheme="minorHAnsi" w:hAnsiTheme="minorHAnsi" w:cstheme="minorHAnsi"/>
        </w:rPr>
        <w:t xml:space="preserve">. </w:t>
      </w:r>
    </w:p>
    <w:p w14:paraId="38156D27" w14:textId="77777777" w:rsidR="004C2285" w:rsidRPr="002E7473" w:rsidRDefault="004C2285" w:rsidP="00F513F4">
      <w:pPr>
        <w:pStyle w:val="Retraitcorpsdetexte"/>
        <w:tabs>
          <w:tab w:val="clear" w:pos="180"/>
        </w:tabs>
        <w:ind w:left="0"/>
        <w:rPr>
          <w:rFonts w:asciiTheme="minorHAnsi" w:hAnsiTheme="minorHAnsi" w:cstheme="minorHAnsi"/>
        </w:rPr>
      </w:pPr>
    </w:p>
    <w:p w14:paraId="29095606" w14:textId="77777777" w:rsidR="002A72B6" w:rsidRPr="002E7473" w:rsidRDefault="002A72B6" w:rsidP="00F513F4">
      <w:pPr>
        <w:pStyle w:val="Retraitcorpsdetexte"/>
        <w:tabs>
          <w:tab w:val="clear" w:pos="180"/>
        </w:tabs>
        <w:ind w:left="-284"/>
        <w:rPr>
          <w:rFonts w:asciiTheme="minorHAnsi" w:hAnsiTheme="minorHAnsi" w:cstheme="minorHAnsi"/>
          <w:b/>
        </w:rPr>
      </w:pPr>
      <w:r w:rsidRPr="002E7473">
        <w:rPr>
          <w:rFonts w:asciiTheme="minorHAnsi" w:hAnsiTheme="minorHAnsi" w:cstheme="minorHAnsi"/>
          <w:b/>
        </w:rPr>
        <w:t>Déposer une candidature</w:t>
      </w:r>
    </w:p>
    <w:p w14:paraId="6635EA63" w14:textId="77777777" w:rsidR="002A72B6" w:rsidRPr="002E7473" w:rsidRDefault="62739D01" w:rsidP="00F513F4">
      <w:pPr>
        <w:pStyle w:val="Retraitcorpsdetexte"/>
        <w:tabs>
          <w:tab w:val="clear" w:pos="180"/>
        </w:tabs>
        <w:ind w:left="-284"/>
      </w:pPr>
      <w:r w:rsidRPr="002E7473">
        <w:rPr>
          <w:rFonts w:asciiTheme="minorHAnsi" w:hAnsiTheme="minorHAnsi" w:cstheme="minorBidi"/>
        </w:rPr>
        <w:t xml:space="preserve">Sont admissibles </w:t>
      </w:r>
      <w:r w:rsidR="67B05F50" w:rsidRPr="002E7473">
        <w:rPr>
          <w:rFonts w:asciiTheme="minorHAnsi" w:hAnsiTheme="minorHAnsi" w:cstheme="minorBidi"/>
        </w:rPr>
        <w:t xml:space="preserve">les </w:t>
      </w:r>
      <w:r w:rsidR="51AB68C3" w:rsidRPr="002E7473">
        <w:rPr>
          <w:rFonts w:asciiTheme="minorHAnsi" w:hAnsiTheme="minorHAnsi" w:cstheme="minorBidi"/>
        </w:rPr>
        <w:t>créateurs et créatrices</w:t>
      </w:r>
      <w:r w:rsidR="67B05F50" w:rsidRPr="002E7473">
        <w:rPr>
          <w:rFonts w:asciiTheme="minorHAnsi" w:hAnsiTheme="minorHAnsi" w:cstheme="minorBidi"/>
        </w:rPr>
        <w:t xml:space="preserve">, </w:t>
      </w:r>
      <w:r w:rsidR="51AB68C3" w:rsidRPr="002E7473">
        <w:rPr>
          <w:rFonts w:asciiTheme="minorHAnsi" w:hAnsiTheme="minorHAnsi" w:cstheme="minorBidi"/>
        </w:rPr>
        <w:t xml:space="preserve">les </w:t>
      </w:r>
      <w:r w:rsidR="67B05F50" w:rsidRPr="002E7473">
        <w:rPr>
          <w:rFonts w:asciiTheme="minorHAnsi" w:hAnsiTheme="minorHAnsi" w:cstheme="minorBidi"/>
        </w:rPr>
        <w:t xml:space="preserve">écrivains </w:t>
      </w:r>
      <w:r w:rsidR="51AB68C3" w:rsidRPr="002E7473">
        <w:rPr>
          <w:rFonts w:asciiTheme="minorHAnsi" w:hAnsiTheme="minorHAnsi" w:cstheme="minorBidi"/>
        </w:rPr>
        <w:t xml:space="preserve">et écrivaines, </w:t>
      </w:r>
      <w:r w:rsidR="3B2D37E1" w:rsidRPr="002E7473">
        <w:rPr>
          <w:rFonts w:asciiTheme="minorHAnsi" w:hAnsiTheme="minorHAnsi" w:cstheme="minorBidi"/>
        </w:rPr>
        <w:t>ainsi que</w:t>
      </w:r>
      <w:r w:rsidR="67B05F50" w:rsidRPr="002E7473">
        <w:rPr>
          <w:rFonts w:asciiTheme="minorHAnsi" w:hAnsiTheme="minorHAnsi" w:cstheme="minorBidi"/>
        </w:rPr>
        <w:t xml:space="preserve"> </w:t>
      </w:r>
      <w:r w:rsidR="51AB68C3" w:rsidRPr="002E7473">
        <w:rPr>
          <w:rFonts w:asciiTheme="minorHAnsi" w:hAnsiTheme="minorHAnsi" w:cstheme="minorBidi"/>
        </w:rPr>
        <w:t xml:space="preserve">les </w:t>
      </w:r>
      <w:r w:rsidR="67B05F50" w:rsidRPr="002E7473">
        <w:rPr>
          <w:rFonts w:asciiTheme="minorHAnsi" w:hAnsiTheme="minorHAnsi" w:cstheme="minorBidi"/>
        </w:rPr>
        <w:t xml:space="preserve">interprètes </w:t>
      </w:r>
      <w:r w:rsidRPr="002E7473">
        <w:rPr>
          <w:rFonts w:asciiTheme="minorHAnsi" w:hAnsiTheme="minorHAnsi" w:cstheme="minorBidi"/>
        </w:rPr>
        <w:t xml:space="preserve">qui comptent plus de trois ans de pratique artistique professionnelle. </w:t>
      </w:r>
      <w:r w:rsidR="2ACF437C" w:rsidRPr="002E7473">
        <w:rPr>
          <w:rFonts w:asciiTheme="minorHAnsi" w:hAnsiTheme="minorHAnsi" w:cstheme="minorBidi"/>
        </w:rPr>
        <w:t xml:space="preserve">Les personnes désirant poser leur candidature trouveront tous les détails ainsi que le formulaire sur le site Web du </w:t>
      </w:r>
      <w:r w:rsidR="3B2D37E1" w:rsidRPr="002E7473">
        <w:rPr>
          <w:rFonts w:asciiTheme="minorHAnsi" w:hAnsiTheme="minorHAnsi" w:cstheme="minorBidi"/>
        </w:rPr>
        <w:t>CALQ</w:t>
      </w:r>
      <w:r w:rsidR="37A56472" w:rsidRPr="002E7473">
        <w:rPr>
          <w:rFonts w:asciiTheme="minorHAnsi" w:hAnsiTheme="minorHAnsi" w:cstheme="minorBidi"/>
        </w:rPr>
        <w:t xml:space="preserve"> (</w:t>
      </w:r>
      <w:r w:rsidR="70664CD1" w:rsidRPr="002E7473">
        <w:rPr>
          <w:rFonts w:asciiTheme="minorHAnsi" w:hAnsiTheme="minorHAnsi" w:cstheme="minorBidi"/>
        </w:rPr>
        <w:t>Prix du CALQ - Artiste de l'année en Abitibi-Témiscamingue</w:t>
      </w:r>
      <w:r w:rsidR="37A56472" w:rsidRPr="002E7473">
        <w:rPr>
          <w:rFonts w:asciiTheme="minorHAnsi" w:hAnsiTheme="minorHAnsi" w:cstheme="minorBidi"/>
        </w:rPr>
        <w:t>)</w:t>
      </w:r>
      <w:r w:rsidR="56155DC8" w:rsidRPr="002E7473">
        <w:rPr>
          <w:rFonts w:asciiTheme="minorHAnsi" w:hAnsiTheme="minorHAnsi" w:cstheme="minorBidi"/>
        </w:rPr>
        <w:t xml:space="preserve">. </w:t>
      </w:r>
      <w:r w:rsidR="2ACF437C" w:rsidRPr="002E7473">
        <w:rPr>
          <w:rFonts w:asciiTheme="minorHAnsi" w:hAnsiTheme="minorHAnsi" w:cstheme="minorBidi"/>
          <w:color w:val="000000" w:themeColor="text1"/>
        </w:rPr>
        <w:t xml:space="preserve">Pour </w:t>
      </w:r>
      <w:r w:rsidR="418CD6A9" w:rsidRPr="002E7473">
        <w:rPr>
          <w:rFonts w:asciiTheme="minorHAnsi" w:hAnsiTheme="minorHAnsi" w:cstheme="minorBidi"/>
          <w:color w:val="000000" w:themeColor="text1"/>
        </w:rPr>
        <w:t>obteni</w:t>
      </w:r>
      <w:r w:rsidR="27340068" w:rsidRPr="002E7473">
        <w:rPr>
          <w:rFonts w:asciiTheme="minorHAnsi" w:hAnsiTheme="minorHAnsi" w:cstheme="minorBidi"/>
          <w:color w:val="000000" w:themeColor="text1"/>
        </w:rPr>
        <w:t xml:space="preserve">r </w:t>
      </w:r>
      <w:r w:rsidR="2ACF437C" w:rsidRPr="002E7473">
        <w:rPr>
          <w:rFonts w:asciiTheme="minorHAnsi" w:hAnsiTheme="minorHAnsi" w:cstheme="minorBidi"/>
          <w:color w:val="000000" w:themeColor="text1"/>
        </w:rPr>
        <w:t xml:space="preserve">de l’information complémentaire ou de l’aide </w:t>
      </w:r>
      <w:r w:rsidR="27340068" w:rsidRPr="002E7473">
        <w:rPr>
          <w:rFonts w:asciiTheme="minorHAnsi" w:hAnsiTheme="minorHAnsi" w:cstheme="minorBidi"/>
          <w:color w:val="000000" w:themeColor="text1"/>
        </w:rPr>
        <w:t>pour préparer leur</w:t>
      </w:r>
      <w:r w:rsidR="2ACF437C" w:rsidRPr="002E7473">
        <w:rPr>
          <w:rFonts w:asciiTheme="minorHAnsi" w:hAnsiTheme="minorHAnsi" w:cstheme="minorBidi"/>
          <w:color w:val="000000" w:themeColor="text1"/>
        </w:rPr>
        <w:t xml:space="preserve"> dossier</w:t>
      </w:r>
      <w:r w:rsidR="27340068" w:rsidRPr="002E7473">
        <w:rPr>
          <w:rFonts w:asciiTheme="minorHAnsi" w:hAnsiTheme="minorHAnsi" w:cstheme="minorBidi"/>
          <w:color w:val="000000" w:themeColor="text1"/>
        </w:rPr>
        <w:t>, les</w:t>
      </w:r>
      <w:r w:rsidR="418CD6A9" w:rsidRPr="002E7473">
        <w:rPr>
          <w:rFonts w:asciiTheme="minorHAnsi" w:hAnsiTheme="minorHAnsi" w:cstheme="minorBidi"/>
          <w:color w:val="000000" w:themeColor="text1"/>
        </w:rPr>
        <w:t xml:space="preserve"> </w:t>
      </w:r>
      <w:r w:rsidR="2ACF437C" w:rsidRPr="002E7473">
        <w:rPr>
          <w:rFonts w:asciiTheme="minorHAnsi" w:hAnsiTheme="minorHAnsi" w:cstheme="minorBidi"/>
          <w:color w:val="000000" w:themeColor="text1"/>
        </w:rPr>
        <w:t>artiste</w:t>
      </w:r>
      <w:r w:rsidR="27340068" w:rsidRPr="002E7473">
        <w:rPr>
          <w:rFonts w:asciiTheme="minorHAnsi" w:hAnsiTheme="minorHAnsi" w:cstheme="minorBidi"/>
          <w:color w:val="000000" w:themeColor="text1"/>
        </w:rPr>
        <w:t>s sont invités</w:t>
      </w:r>
      <w:r w:rsidR="2ACF437C" w:rsidRPr="002E7473">
        <w:rPr>
          <w:rFonts w:asciiTheme="minorHAnsi" w:hAnsiTheme="minorHAnsi" w:cstheme="minorBidi"/>
          <w:color w:val="000000" w:themeColor="text1"/>
        </w:rPr>
        <w:t xml:space="preserve"> à contacter</w:t>
      </w:r>
      <w:r w:rsidR="2ACF437C" w:rsidRPr="002E7473">
        <w:rPr>
          <w:rFonts w:asciiTheme="minorHAnsi" w:hAnsiTheme="minorHAnsi" w:cstheme="minorBidi"/>
        </w:rPr>
        <w:t xml:space="preserve"> </w:t>
      </w:r>
      <w:r w:rsidR="5C78419E" w:rsidRPr="002E7473">
        <w:rPr>
          <w:rFonts w:asciiTheme="minorHAnsi" w:hAnsiTheme="minorHAnsi" w:cstheme="minorBidi"/>
          <w:b/>
          <w:bCs/>
        </w:rPr>
        <w:t>:</w:t>
      </w:r>
    </w:p>
    <w:p w14:paraId="3D6DB95F" w14:textId="77777777" w:rsidR="1FD67D45" w:rsidRPr="002E7473" w:rsidRDefault="1FD67D45" w:rsidP="1FD67D45">
      <w:pPr>
        <w:pStyle w:val="Retraitcorpsdetexte"/>
        <w:tabs>
          <w:tab w:val="clear" w:pos="180"/>
        </w:tabs>
        <w:ind w:left="-284"/>
        <w:rPr>
          <w:rFonts w:asciiTheme="minorHAnsi" w:hAnsiTheme="minorHAnsi" w:cstheme="minorBidi"/>
          <w:b/>
          <w:bCs/>
        </w:rPr>
      </w:pPr>
    </w:p>
    <w:p w14:paraId="356D5072" w14:textId="77777777" w:rsidR="5C78419E" w:rsidRPr="002E7473" w:rsidRDefault="5C78419E" w:rsidP="1FD67D45">
      <w:pPr>
        <w:pStyle w:val="Retraitcorpsdetexte"/>
        <w:tabs>
          <w:tab w:val="clear" w:pos="180"/>
        </w:tabs>
        <w:ind w:left="-284"/>
      </w:pPr>
      <w:r w:rsidRPr="002E7473">
        <w:rPr>
          <w:rFonts w:asciiTheme="minorHAnsi" w:hAnsiTheme="minorHAnsi" w:cstheme="minorBidi"/>
          <w:b/>
          <w:bCs/>
        </w:rPr>
        <w:t>Patricia Bédard</w:t>
      </w:r>
    </w:p>
    <w:p w14:paraId="3DB40493" w14:textId="77777777" w:rsidR="5C78419E" w:rsidRPr="002E7473" w:rsidRDefault="5C78419E" w:rsidP="1FD67D45">
      <w:pPr>
        <w:pStyle w:val="Retraitcorpsdetexte"/>
        <w:tabs>
          <w:tab w:val="clear" w:pos="180"/>
        </w:tabs>
        <w:ind w:left="-284"/>
      </w:pPr>
      <w:hyperlink r:id="rId13">
        <w:r w:rsidRPr="002E7473">
          <w:rPr>
            <w:rStyle w:val="Lienhypertexte"/>
            <w:rFonts w:asciiTheme="minorHAnsi" w:hAnsiTheme="minorHAnsi" w:cstheme="minorBidi"/>
            <w:b/>
            <w:bCs/>
          </w:rPr>
          <w:t>soutien@ccat.qc.ca</w:t>
        </w:r>
      </w:hyperlink>
    </w:p>
    <w:p w14:paraId="3E20491A" w14:textId="77777777" w:rsidR="5C78419E" w:rsidRDefault="5C78419E" w:rsidP="1FD67D45">
      <w:pPr>
        <w:pStyle w:val="Retraitcorpsdetexte"/>
        <w:tabs>
          <w:tab w:val="clear" w:pos="180"/>
        </w:tabs>
        <w:ind w:left="-284"/>
      </w:pPr>
      <w:r w:rsidRPr="002E7473">
        <w:rPr>
          <w:rFonts w:asciiTheme="minorHAnsi" w:hAnsiTheme="minorHAnsi" w:cstheme="minorBidi"/>
          <w:b/>
          <w:bCs/>
        </w:rPr>
        <w:t>819-764-9511</w:t>
      </w:r>
      <w:r w:rsidR="00455543" w:rsidRPr="002E7473">
        <w:rPr>
          <w:rFonts w:asciiTheme="minorHAnsi" w:hAnsiTheme="minorHAnsi" w:cstheme="minorBidi"/>
          <w:b/>
          <w:bCs/>
        </w:rPr>
        <w:t xml:space="preserve"> poste 5</w:t>
      </w:r>
    </w:p>
    <w:p w14:paraId="77A15225" w14:textId="77777777" w:rsidR="004C2285" w:rsidRPr="00F513F4" w:rsidRDefault="004C2285" w:rsidP="002A72B6">
      <w:pPr>
        <w:pStyle w:val="Retraitcorpsdetexte"/>
        <w:tabs>
          <w:tab w:val="clear" w:pos="180"/>
        </w:tabs>
        <w:spacing w:line="276" w:lineRule="auto"/>
        <w:ind w:left="0"/>
        <w:rPr>
          <w:rFonts w:asciiTheme="minorHAnsi" w:hAnsiTheme="minorHAnsi" w:cstheme="minorHAnsi"/>
        </w:rPr>
      </w:pPr>
    </w:p>
    <w:p w14:paraId="7883D840" w14:textId="09FD8EC8" w:rsidR="000F3E25" w:rsidRDefault="387E3406" w:rsidP="000F3E25">
      <w:pPr>
        <w:spacing w:after="0"/>
        <w:ind w:left="-284"/>
        <w:jc w:val="both"/>
        <w:rPr>
          <w:rFonts w:asciiTheme="minorHAnsi" w:hAnsiTheme="minorHAnsi" w:cstheme="minorBidi"/>
        </w:rPr>
      </w:pPr>
      <w:r w:rsidRPr="1FD67D45">
        <w:rPr>
          <w:rFonts w:asciiTheme="minorHAnsi" w:hAnsiTheme="minorHAnsi" w:cstheme="minorBidi"/>
        </w:rPr>
        <w:t>Le p</w:t>
      </w:r>
      <w:r w:rsidR="121ABBB5" w:rsidRPr="1FD67D45">
        <w:rPr>
          <w:rFonts w:asciiTheme="minorHAnsi" w:hAnsiTheme="minorHAnsi" w:cstheme="minorBidi"/>
        </w:rPr>
        <w:t xml:space="preserve">rix sera </w:t>
      </w:r>
      <w:r w:rsidR="66B0A891" w:rsidRPr="1FD67D45">
        <w:rPr>
          <w:rFonts w:asciiTheme="minorHAnsi" w:hAnsiTheme="minorHAnsi" w:cstheme="minorBidi"/>
        </w:rPr>
        <w:t>attribué</w:t>
      </w:r>
      <w:r w:rsidR="121ABBB5" w:rsidRPr="1FD67D45">
        <w:rPr>
          <w:rFonts w:asciiTheme="minorHAnsi" w:hAnsiTheme="minorHAnsi" w:cstheme="minorBidi"/>
        </w:rPr>
        <w:t xml:space="preserve"> </w:t>
      </w:r>
      <w:r w:rsidR="4DA0DB9B" w:rsidRPr="1FD67D45">
        <w:rPr>
          <w:rFonts w:asciiTheme="minorHAnsi" w:hAnsiTheme="minorHAnsi" w:cstheme="minorBidi"/>
        </w:rPr>
        <w:t xml:space="preserve">lors de la cérémonie annuelle </w:t>
      </w:r>
      <w:r w:rsidR="0F2D20F2" w:rsidRPr="1FD67D45">
        <w:rPr>
          <w:rFonts w:asciiTheme="minorHAnsi" w:hAnsiTheme="minorHAnsi" w:cstheme="minorBidi"/>
        </w:rPr>
        <w:t xml:space="preserve">le </w:t>
      </w:r>
      <w:r w:rsidR="0F2D20F2" w:rsidRPr="000F3E25">
        <w:rPr>
          <w:rFonts w:asciiTheme="minorHAnsi" w:hAnsiTheme="minorHAnsi" w:cstheme="minorBidi"/>
          <w:b/>
          <w:bCs/>
        </w:rPr>
        <w:t>8 mai 2026</w:t>
      </w:r>
      <w:r w:rsidR="0F2D20F2" w:rsidRPr="1FD67D45">
        <w:rPr>
          <w:rFonts w:asciiTheme="minorHAnsi" w:hAnsiTheme="minorHAnsi" w:cstheme="minorBidi"/>
        </w:rPr>
        <w:t xml:space="preserve"> à la </w:t>
      </w:r>
      <w:r w:rsidR="0F2D20F2" w:rsidRPr="000F3E25">
        <w:rPr>
          <w:rFonts w:asciiTheme="minorHAnsi" w:hAnsiTheme="minorHAnsi" w:cstheme="minorBidi"/>
          <w:b/>
          <w:bCs/>
        </w:rPr>
        <w:t>Salle Félix-Leclerc de Val d’Or</w:t>
      </w:r>
      <w:r w:rsidR="0F2D20F2" w:rsidRPr="1FD67D45">
        <w:rPr>
          <w:rFonts w:asciiTheme="minorHAnsi" w:hAnsiTheme="minorHAnsi" w:cstheme="minorBidi"/>
        </w:rPr>
        <w:t>.</w:t>
      </w:r>
    </w:p>
    <w:p w14:paraId="73A58694" w14:textId="77777777" w:rsidR="00791668" w:rsidRDefault="00791668" w:rsidP="000F3E25">
      <w:pPr>
        <w:spacing w:after="0"/>
        <w:ind w:left="-284"/>
        <w:jc w:val="both"/>
        <w:rPr>
          <w:rFonts w:asciiTheme="minorHAnsi" w:hAnsiTheme="minorHAnsi" w:cstheme="minorBidi"/>
        </w:rPr>
      </w:pPr>
    </w:p>
    <w:p w14:paraId="4797940B" w14:textId="77777777" w:rsidR="00791668" w:rsidRPr="00791668" w:rsidRDefault="00791668" w:rsidP="00791668">
      <w:pPr>
        <w:spacing w:after="0"/>
        <w:ind w:left="-284"/>
        <w:jc w:val="both"/>
        <w:rPr>
          <w:rFonts w:asciiTheme="minorHAnsi" w:hAnsiTheme="minorHAnsi" w:cstheme="minorBidi"/>
          <w:b/>
          <w:bCs/>
        </w:rPr>
      </w:pPr>
      <w:r w:rsidRPr="00791668">
        <w:rPr>
          <w:rFonts w:asciiTheme="minorHAnsi" w:hAnsiTheme="minorHAnsi" w:cstheme="minorBidi"/>
          <w:b/>
          <w:bCs/>
        </w:rPr>
        <w:t>LES PRIX D’EXCELLENCE EN ARTS ET CULTURE</w:t>
      </w:r>
    </w:p>
    <w:p w14:paraId="1D174A5B" w14:textId="77777777" w:rsidR="00791668" w:rsidRPr="00791668" w:rsidRDefault="00791668" w:rsidP="00791668">
      <w:pPr>
        <w:spacing w:after="0"/>
        <w:ind w:left="-284"/>
        <w:jc w:val="both"/>
        <w:rPr>
          <w:rFonts w:asciiTheme="minorHAnsi" w:hAnsiTheme="minorHAnsi" w:cstheme="minorBidi"/>
        </w:rPr>
      </w:pPr>
      <w:r w:rsidRPr="00791668">
        <w:rPr>
          <w:rFonts w:asciiTheme="minorHAnsi" w:hAnsiTheme="minorHAnsi" w:cstheme="minorBidi"/>
        </w:rPr>
        <w:t>En parallèle, le CCAT lance également un appel à candidatures pour d'autres distinctions qui seront remises lors de la cérémonie de remise des Prix d’excellence, un événement phare qui célébrera sa 26e édition le 8 mai 2026 à la salle Félix-Leclerc de Val-d'Or.</w:t>
      </w:r>
    </w:p>
    <w:p w14:paraId="218C4F2A" w14:textId="77777777" w:rsidR="00791668" w:rsidRPr="00791668" w:rsidRDefault="00791668" w:rsidP="00791668">
      <w:pPr>
        <w:spacing w:after="0"/>
        <w:ind w:left="-284"/>
        <w:jc w:val="both"/>
        <w:rPr>
          <w:rFonts w:asciiTheme="minorHAnsi" w:hAnsiTheme="minorHAnsi" w:cstheme="minorBidi"/>
        </w:rPr>
      </w:pPr>
    </w:p>
    <w:p w14:paraId="1EC5CA63" w14:textId="77777777" w:rsidR="00791668" w:rsidRPr="00791668" w:rsidRDefault="00791668" w:rsidP="00791668">
      <w:pPr>
        <w:spacing w:after="0"/>
        <w:ind w:left="-284"/>
        <w:jc w:val="both"/>
        <w:rPr>
          <w:rFonts w:asciiTheme="minorHAnsi" w:hAnsiTheme="minorHAnsi" w:cstheme="minorBidi"/>
        </w:rPr>
      </w:pPr>
      <w:r w:rsidRPr="00791668">
        <w:rPr>
          <w:rFonts w:asciiTheme="minorHAnsi" w:hAnsiTheme="minorHAnsi" w:cstheme="minorBidi"/>
        </w:rPr>
        <w:t>Les autres prix en appel de candidatures incluent :</w:t>
      </w:r>
    </w:p>
    <w:p w14:paraId="24F2006C" w14:textId="77777777" w:rsidR="00791668" w:rsidRPr="00791668" w:rsidRDefault="00791668" w:rsidP="00791668">
      <w:pPr>
        <w:spacing w:after="0"/>
        <w:ind w:left="-284"/>
        <w:jc w:val="both"/>
        <w:rPr>
          <w:rFonts w:asciiTheme="minorHAnsi" w:hAnsiTheme="minorHAnsi" w:cstheme="minorBidi"/>
        </w:rPr>
      </w:pPr>
    </w:p>
    <w:p w14:paraId="6DEBA6FB" w14:textId="5C3C89A0" w:rsidR="00791668" w:rsidRPr="00791668" w:rsidRDefault="00791668" w:rsidP="00791668">
      <w:pPr>
        <w:pStyle w:val="Paragraphedeliste"/>
        <w:numPr>
          <w:ilvl w:val="0"/>
          <w:numId w:val="5"/>
        </w:numPr>
        <w:spacing w:after="0"/>
        <w:jc w:val="both"/>
        <w:rPr>
          <w:rFonts w:asciiTheme="minorHAnsi" w:hAnsiTheme="minorHAnsi" w:cstheme="minorBidi"/>
        </w:rPr>
      </w:pPr>
      <w:r w:rsidRPr="00791668">
        <w:rPr>
          <w:rFonts w:asciiTheme="minorHAnsi" w:hAnsiTheme="minorHAnsi" w:cstheme="minorBidi"/>
          <w:b/>
          <w:bCs/>
        </w:rPr>
        <w:t>Prix Partenariat</w:t>
      </w:r>
      <w:r w:rsidRPr="00791668">
        <w:rPr>
          <w:rFonts w:asciiTheme="minorHAnsi" w:hAnsiTheme="minorHAnsi" w:cstheme="minorBidi"/>
        </w:rPr>
        <w:t xml:space="preserve"> – souligne l’apport d’un partenaire du secteur communautaire au milieu artistique et culturel régional ;</w:t>
      </w:r>
    </w:p>
    <w:p w14:paraId="102A6030" w14:textId="022ED427" w:rsidR="00791668" w:rsidRPr="00791668" w:rsidRDefault="00791668" w:rsidP="00791668">
      <w:pPr>
        <w:pStyle w:val="Paragraphedeliste"/>
        <w:numPr>
          <w:ilvl w:val="0"/>
          <w:numId w:val="5"/>
        </w:numPr>
        <w:spacing w:after="0"/>
        <w:jc w:val="both"/>
        <w:rPr>
          <w:rFonts w:asciiTheme="minorHAnsi" w:hAnsiTheme="minorHAnsi" w:cstheme="minorBidi"/>
        </w:rPr>
      </w:pPr>
      <w:r w:rsidRPr="00791668">
        <w:rPr>
          <w:rFonts w:asciiTheme="minorHAnsi" w:hAnsiTheme="minorHAnsi" w:cstheme="minorBidi"/>
          <w:b/>
          <w:bCs/>
        </w:rPr>
        <w:lastRenderedPageBreak/>
        <w:t>Prix Complice –</w:t>
      </w:r>
      <w:r w:rsidRPr="00791668">
        <w:rPr>
          <w:rFonts w:asciiTheme="minorHAnsi" w:hAnsiTheme="minorHAnsi" w:cstheme="minorBidi"/>
        </w:rPr>
        <w:t xml:space="preserve"> souligne l’engagement d’</w:t>
      </w:r>
      <w:proofErr w:type="spellStart"/>
      <w:r w:rsidRPr="00791668">
        <w:rPr>
          <w:rFonts w:asciiTheme="minorHAnsi" w:hAnsiTheme="minorHAnsi" w:cstheme="minorBidi"/>
        </w:rPr>
        <w:t>un·e</w:t>
      </w:r>
      <w:proofErr w:type="spellEnd"/>
      <w:r w:rsidRPr="00791668">
        <w:rPr>
          <w:rFonts w:asciiTheme="minorHAnsi" w:hAnsiTheme="minorHAnsi" w:cstheme="minorBidi"/>
        </w:rPr>
        <w:t xml:space="preserve"> </w:t>
      </w:r>
      <w:proofErr w:type="spellStart"/>
      <w:r w:rsidRPr="00791668">
        <w:rPr>
          <w:rFonts w:asciiTheme="minorHAnsi" w:hAnsiTheme="minorHAnsi" w:cstheme="minorBidi"/>
        </w:rPr>
        <w:t>employé·e</w:t>
      </w:r>
      <w:proofErr w:type="spellEnd"/>
      <w:r w:rsidRPr="00791668">
        <w:rPr>
          <w:rFonts w:asciiTheme="minorHAnsi" w:hAnsiTheme="minorHAnsi" w:cstheme="minorBidi"/>
        </w:rPr>
        <w:t xml:space="preserve"> du secteur culturel œuvrant dans la discipline à l’honneur, soit la littérature ou le conte, à accomplir avec passion son travail auprès de ses collègues ;</w:t>
      </w:r>
    </w:p>
    <w:p w14:paraId="46C2A028" w14:textId="246F0748" w:rsidR="00791668" w:rsidRPr="00791668" w:rsidRDefault="00791668" w:rsidP="00791668">
      <w:pPr>
        <w:pStyle w:val="Paragraphedeliste"/>
        <w:numPr>
          <w:ilvl w:val="0"/>
          <w:numId w:val="5"/>
        </w:numPr>
        <w:spacing w:after="0"/>
        <w:jc w:val="both"/>
        <w:rPr>
          <w:rFonts w:asciiTheme="minorHAnsi" w:hAnsiTheme="minorHAnsi" w:cstheme="minorBidi"/>
        </w:rPr>
      </w:pPr>
      <w:r w:rsidRPr="00791668">
        <w:rPr>
          <w:rFonts w:asciiTheme="minorHAnsi" w:hAnsiTheme="minorHAnsi" w:cstheme="minorBidi"/>
          <w:b/>
          <w:bCs/>
        </w:rPr>
        <w:t>Prix Émergence –</w:t>
      </w:r>
      <w:r w:rsidRPr="00791668">
        <w:rPr>
          <w:rFonts w:asciiTheme="minorHAnsi" w:hAnsiTheme="minorHAnsi" w:cstheme="minorBidi"/>
        </w:rPr>
        <w:t xml:space="preserve"> vise la reconnaissance d’</w:t>
      </w:r>
      <w:proofErr w:type="spellStart"/>
      <w:r w:rsidRPr="00791668">
        <w:rPr>
          <w:rFonts w:asciiTheme="minorHAnsi" w:hAnsiTheme="minorHAnsi" w:cstheme="minorBidi"/>
        </w:rPr>
        <w:t>un·e</w:t>
      </w:r>
      <w:proofErr w:type="spellEnd"/>
      <w:r w:rsidRPr="00791668">
        <w:rPr>
          <w:rFonts w:asciiTheme="minorHAnsi" w:hAnsiTheme="minorHAnsi" w:cstheme="minorBidi"/>
        </w:rPr>
        <w:t xml:space="preserve"> artiste en début de carrière, à soutenir sa professionnalisation et à favoriser son intégration au milieu artistique et culturel ;</w:t>
      </w:r>
    </w:p>
    <w:p w14:paraId="4AD01B21" w14:textId="5927A84B" w:rsidR="00791668" w:rsidRPr="00791668" w:rsidRDefault="00791668" w:rsidP="00791668">
      <w:pPr>
        <w:pStyle w:val="Paragraphedeliste"/>
        <w:numPr>
          <w:ilvl w:val="0"/>
          <w:numId w:val="5"/>
        </w:numPr>
        <w:spacing w:after="0"/>
        <w:jc w:val="both"/>
        <w:rPr>
          <w:rFonts w:asciiTheme="minorHAnsi" w:hAnsiTheme="minorHAnsi" w:cstheme="minorBidi"/>
        </w:rPr>
      </w:pPr>
      <w:r w:rsidRPr="00791668">
        <w:rPr>
          <w:rFonts w:asciiTheme="minorHAnsi" w:hAnsiTheme="minorHAnsi" w:cstheme="minorBidi"/>
          <w:b/>
          <w:bCs/>
        </w:rPr>
        <w:t>Prix Innovation –</w:t>
      </w:r>
      <w:r w:rsidRPr="00791668">
        <w:rPr>
          <w:rFonts w:asciiTheme="minorHAnsi" w:hAnsiTheme="minorHAnsi" w:cstheme="minorBidi"/>
        </w:rPr>
        <w:t xml:space="preserve"> récompense les efforts et l’excellence d’innovation technologique, sociale, organisationnelle qu’un organisme culturel a su intégrer de façon structurante à sa pratique.</w:t>
      </w:r>
    </w:p>
    <w:p w14:paraId="2CADA026" w14:textId="77777777" w:rsidR="00791668" w:rsidRPr="00791668" w:rsidRDefault="00791668" w:rsidP="00791668">
      <w:pPr>
        <w:spacing w:after="0"/>
        <w:ind w:left="-284"/>
        <w:jc w:val="both"/>
        <w:rPr>
          <w:rFonts w:asciiTheme="minorHAnsi" w:hAnsiTheme="minorHAnsi" w:cstheme="minorBidi"/>
        </w:rPr>
      </w:pPr>
    </w:p>
    <w:p w14:paraId="1BE59F82" w14:textId="77777777" w:rsidR="00791668" w:rsidRPr="00791668" w:rsidRDefault="00791668" w:rsidP="00791668">
      <w:pPr>
        <w:spacing w:after="0"/>
        <w:ind w:left="-284"/>
        <w:jc w:val="both"/>
        <w:rPr>
          <w:rFonts w:asciiTheme="minorHAnsi" w:hAnsiTheme="minorHAnsi" w:cstheme="minorBidi"/>
        </w:rPr>
      </w:pPr>
      <w:r w:rsidRPr="00791668">
        <w:rPr>
          <w:rFonts w:asciiTheme="minorHAnsi" w:hAnsiTheme="minorHAnsi" w:cstheme="minorBidi"/>
        </w:rPr>
        <w:t xml:space="preserve">Les Prix d’excellence en arts et culture de l’Abitibi-Témiscamingue sont un moment unique pour rassembler la communauté et célébrer les artistes, les travailleurs et travailleuses </w:t>
      </w:r>
      <w:proofErr w:type="spellStart"/>
      <w:r w:rsidRPr="00791668">
        <w:rPr>
          <w:rFonts w:asciiTheme="minorHAnsi" w:hAnsiTheme="minorHAnsi" w:cstheme="minorBidi"/>
        </w:rPr>
        <w:t>culturel·les</w:t>
      </w:r>
      <w:proofErr w:type="spellEnd"/>
      <w:r w:rsidRPr="00791668">
        <w:rPr>
          <w:rFonts w:asciiTheme="minorHAnsi" w:hAnsiTheme="minorHAnsi" w:cstheme="minorBidi"/>
        </w:rPr>
        <w:t xml:space="preserve"> et les organismes qui enrichissent notre région par leur contribution au dynamisme culturel. Les personnes intéressées peuvent soumettre leur candidature dès aujourd'hui en consultant les détails et critères sur notre site web.</w:t>
      </w:r>
    </w:p>
    <w:p w14:paraId="5324FF90" w14:textId="77777777" w:rsidR="00791668" w:rsidRPr="00791668" w:rsidRDefault="00791668" w:rsidP="00791668">
      <w:pPr>
        <w:spacing w:after="0"/>
        <w:ind w:left="-284"/>
        <w:jc w:val="both"/>
        <w:rPr>
          <w:rFonts w:asciiTheme="minorHAnsi" w:hAnsiTheme="minorHAnsi" w:cstheme="minorBidi"/>
        </w:rPr>
      </w:pPr>
    </w:p>
    <w:p w14:paraId="2901BCA3" w14:textId="4D6D2023" w:rsidR="00791668" w:rsidRPr="00791668" w:rsidRDefault="00791668" w:rsidP="00791668">
      <w:pPr>
        <w:spacing w:after="0"/>
        <w:ind w:left="-284"/>
        <w:jc w:val="both"/>
        <w:rPr>
          <w:rFonts w:asciiTheme="minorHAnsi" w:hAnsiTheme="minorHAnsi" w:cstheme="minorBidi"/>
          <w:b/>
          <w:bCs/>
        </w:rPr>
      </w:pPr>
      <w:r w:rsidRPr="00791668">
        <w:rPr>
          <w:rFonts w:asciiTheme="minorHAnsi" w:hAnsiTheme="minorHAnsi" w:cstheme="minorBidi"/>
          <w:b/>
          <w:bCs/>
        </w:rPr>
        <w:t>Date limite pour le dépôt des candidatures : 10 février 2026.</w:t>
      </w:r>
    </w:p>
    <w:p w14:paraId="6B3B00FE" w14:textId="77777777" w:rsidR="000F3E25" w:rsidRDefault="000F3E25" w:rsidP="00F513F4">
      <w:pPr>
        <w:pStyle w:val="Retraitcorpsdetexte"/>
        <w:tabs>
          <w:tab w:val="clear" w:pos="180"/>
        </w:tabs>
        <w:spacing w:line="276" w:lineRule="auto"/>
        <w:ind w:left="0"/>
        <w:rPr>
          <w:rFonts w:asciiTheme="minorHAnsi" w:hAnsiTheme="minorHAnsi" w:cstheme="minorHAnsi"/>
        </w:rPr>
      </w:pPr>
    </w:p>
    <w:p w14:paraId="40006E69" w14:textId="77777777" w:rsidR="00C872A1" w:rsidRPr="00F513F4" w:rsidRDefault="00C872A1" w:rsidP="00F513F4">
      <w:pPr>
        <w:pStyle w:val="Retraitcorpsdetexte"/>
        <w:tabs>
          <w:tab w:val="clear" w:pos="180"/>
        </w:tabs>
        <w:spacing w:line="276" w:lineRule="auto"/>
        <w:ind w:left="0" w:hanging="284"/>
        <w:rPr>
          <w:rFonts w:asciiTheme="minorHAnsi" w:hAnsiTheme="minorHAnsi" w:cstheme="minorHAnsi"/>
        </w:rPr>
      </w:pPr>
      <w:r w:rsidRPr="00F513F4">
        <w:rPr>
          <w:rFonts w:asciiTheme="minorHAnsi" w:hAnsiTheme="minorHAnsi" w:cstheme="minorHAnsi"/>
          <w:b/>
          <w:bCs/>
        </w:rPr>
        <w:t>Le Conseil des arts et des lettres du Québec</w:t>
      </w:r>
    </w:p>
    <w:p w14:paraId="6B989173" w14:textId="77777777" w:rsidR="00F513F4" w:rsidRPr="00F513F4" w:rsidRDefault="00F513F4" w:rsidP="00F513F4">
      <w:pPr>
        <w:spacing w:line="240" w:lineRule="auto"/>
        <w:ind w:left="-284"/>
        <w:jc w:val="both"/>
        <w:rPr>
          <w:rFonts w:asciiTheme="minorHAnsi" w:hAnsiTheme="minorHAnsi" w:cstheme="minorHAnsi"/>
        </w:rPr>
      </w:pPr>
      <w:r w:rsidRPr="00F513F4">
        <w:rPr>
          <w:rFonts w:asciiTheme="minorHAnsi" w:hAnsiTheme="minorHAnsi" w:cstheme="minorHAnsi"/>
        </w:rPr>
        <w:t xml:space="preserve">Le Conseil des arts et des lettres du Québec investit dans l’imaginaire et célèbre les succès de celles et ceux qui créent des œuvres marquantes, qui forgent notre identité culturelle et la font rayonner. Dans une perspective de développement artistique équitable et durable, le </w:t>
      </w:r>
      <w:r w:rsidR="00EF3BA3">
        <w:rPr>
          <w:rFonts w:asciiTheme="minorHAnsi" w:hAnsiTheme="minorHAnsi" w:cstheme="minorHAnsi"/>
        </w:rPr>
        <w:t>CALQ</w:t>
      </w:r>
      <w:r w:rsidRPr="00F513F4">
        <w:rPr>
          <w:rFonts w:asciiTheme="minorHAnsi" w:hAnsiTheme="minorHAnsi" w:cstheme="minorHAnsi"/>
        </w:rPr>
        <w:t xml:space="preserve"> soutient dans toutes les régions du Québec la création, l’expérimentation et la production dans les domaines des arts et des lettres et en favorise la diffusion au Québec, au Canada et à l’étranger.</w:t>
      </w:r>
    </w:p>
    <w:p w14:paraId="5710EAC7" w14:textId="77777777" w:rsidR="00C872A1" w:rsidRPr="00F513F4" w:rsidRDefault="00F513F4" w:rsidP="003516A0">
      <w:pPr>
        <w:spacing w:line="240" w:lineRule="auto"/>
        <w:ind w:left="-284"/>
        <w:jc w:val="both"/>
        <w:rPr>
          <w:rFonts w:asciiTheme="minorHAnsi" w:hAnsiTheme="minorHAnsi" w:cstheme="minorHAnsi"/>
          <w:b/>
        </w:rPr>
      </w:pPr>
      <w:r w:rsidRPr="00F513F4">
        <w:rPr>
          <w:rFonts w:asciiTheme="minorHAnsi" w:hAnsiTheme="minorHAnsi" w:cstheme="minorHAnsi"/>
        </w:rPr>
        <w:t xml:space="preserve">En décernant ce prix, le </w:t>
      </w:r>
      <w:r w:rsidR="00EF3BA3">
        <w:rPr>
          <w:rFonts w:asciiTheme="minorHAnsi" w:hAnsiTheme="minorHAnsi" w:cstheme="minorHAnsi"/>
        </w:rPr>
        <w:t>CALQ</w:t>
      </w:r>
      <w:r w:rsidRPr="00F513F4">
        <w:rPr>
          <w:rFonts w:asciiTheme="minorHAnsi" w:hAnsiTheme="minorHAnsi" w:cstheme="minorHAnsi"/>
        </w:rPr>
        <w:t xml:space="preserve"> poursuit son objectif de reconnaissance publique en démontrant son appui aux créatrices et aux créateurs qui se distinguent par l’excellence de leurs réalisations et par leur contribution exceptionnelle à la vitalité de la culture québécoise.</w:t>
      </w:r>
      <w:r w:rsidRPr="00F513F4">
        <w:rPr>
          <w:rFonts w:asciiTheme="minorHAnsi" w:hAnsiTheme="minorHAnsi" w:cstheme="minorHAnsi"/>
          <w:b/>
        </w:rPr>
        <w:t xml:space="preserve"> </w:t>
      </w:r>
    </w:p>
    <w:p w14:paraId="3F0BB3D4" w14:textId="77777777" w:rsidR="00C872A1" w:rsidRPr="00F513F4" w:rsidRDefault="00C872A1" w:rsidP="00C872A1">
      <w:pPr>
        <w:spacing w:line="240" w:lineRule="auto"/>
        <w:ind w:left="-284"/>
        <w:jc w:val="both"/>
        <w:rPr>
          <w:rFonts w:asciiTheme="minorHAnsi" w:hAnsiTheme="minorHAnsi" w:cstheme="minorHAnsi"/>
        </w:rPr>
      </w:pPr>
    </w:p>
    <w:p w14:paraId="3EFE9632" w14:textId="77777777" w:rsidR="007A7F9C" w:rsidRPr="002E7473" w:rsidRDefault="629FAC0F" w:rsidP="00C872A1">
      <w:pPr>
        <w:spacing w:line="240" w:lineRule="auto"/>
        <w:ind w:left="-284"/>
        <w:jc w:val="both"/>
        <w:rPr>
          <w:rFonts w:asciiTheme="minorHAnsi" w:hAnsiTheme="minorHAnsi" w:cstheme="minorHAnsi"/>
        </w:rPr>
      </w:pPr>
      <w:r w:rsidRPr="002E7473">
        <w:rPr>
          <w:rFonts w:asciiTheme="minorHAnsi" w:hAnsiTheme="minorHAnsi" w:cstheme="minorBidi"/>
          <w:b/>
          <w:bCs/>
        </w:rPr>
        <w:t xml:space="preserve">Le Conseil </w:t>
      </w:r>
      <w:r w:rsidR="67B05F50" w:rsidRPr="002E7473">
        <w:rPr>
          <w:rFonts w:asciiTheme="minorHAnsi" w:hAnsiTheme="minorHAnsi" w:cstheme="minorBidi"/>
          <w:b/>
          <w:bCs/>
        </w:rPr>
        <w:t xml:space="preserve">de la culture </w:t>
      </w:r>
    </w:p>
    <w:p w14:paraId="47D4CF42" w14:textId="77777777" w:rsidR="6943F91D" w:rsidRPr="002E7473" w:rsidRDefault="6943F91D" w:rsidP="1FD67D45">
      <w:pPr>
        <w:spacing w:after="0"/>
        <w:ind w:left="-284"/>
        <w:jc w:val="both"/>
        <w:rPr>
          <w:rFonts w:asciiTheme="minorHAnsi" w:hAnsiTheme="minorHAnsi" w:cstheme="minorBidi"/>
        </w:rPr>
      </w:pPr>
      <w:r w:rsidRPr="002E7473">
        <w:rPr>
          <w:rFonts w:asciiTheme="minorHAnsi" w:hAnsiTheme="minorHAnsi" w:cstheme="minorBidi"/>
        </w:rPr>
        <w:t>Le Conseil de la culture de l’Abitibi-Témiscamingue accompagne le milieu culturel et artistique dans ses défis tout en veillant à ses intérêts et à son développement. L’organisme est un incontournable qui influence</w:t>
      </w:r>
      <w:r w:rsidR="47F23F4C" w:rsidRPr="002E7473">
        <w:rPr>
          <w:rFonts w:asciiTheme="minorHAnsi" w:hAnsiTheme="minorHAnsi" w:cstheme="minorBidi"/>
        </w:rPr>
        <w:t xml:space="preserve"> les maillages, l’innovation et la diversité de son secteur. </w:t>
      </w:r>
    </w:p>
    <w:p w14:paraId="4A2001AD" w14:textId="77777777" w:rsidR="00412B28" w:rsidRPr="002E7473" w:rsidRDefault="00412B28" w:rsidP="004C2285">
      <w:pPr>
        <w:spacing w:after="0"/>
        <w:ind w:left="-284"/>
        <w:jc w:val="both"/>
        <w:rPr>
          <w:rFonts w:asciiTheme="minorHAnsi" w:hAnsiTheme="minorHAnsi" w:cstheme="minorHAnsi"/>
        </w:rPr>
      </w:pPr>
    </w:p>
    <w:p w14:paraId="48ED1680" w14:textId="77777777" w:rsidR="007778DC" w:rsidRPr="002E7473" w:rsidRDefault="007778DC" w:rsidP="004C2285">
      <w:pPr>
        <w:spacing w:after="0"/>
        <w:ind w:left="-284"/>
        <w:jc w:val="both"/>
        <w:rPr>
          <w:rFonts w:asciiTheme="minorHAnsi" w:hAnsiTheme="minorHAnsi" w:cstheme="minorHAnsi"/>
        </w:rPr>
      </w:pPr>
    </w:p>
    <w:p w14:paraId="4A84FF5F" w14:textId="77777777" w:rsidR="00D5008F" w:rsidRPr="002E7473" w:rsidRDefault="00D5008F" w:rsidP="004C2285">
      <w:pPr>
        <w:pStyle w:val="Paragraphedeliste1"/>
        <w:spacing w:after="0"/>
        <w:ind w:left="-284"/>
        <w:jc w:val="center"/>
        <w:rPr>
          <w:rFonts w:asciiTheme="minorHAnsi" w:hAnsiTheme="minorHAnsi" w:cstheme="minorHAnsi"/>
        </w:rPr>
      </w:pPr>
      <w:r w:rsidRPr="002E7473">
        <w:rPr>
          <w:rFonts w:asciiTheme="minorHAnsi" w:hAnsiTheme="minorHAnsi" w:cstheme="minorHAnsi"/>
        </w:rPr>
        <w:t>– 30 –</w:t>
      </w:r>
    </w:p>
    <w:p w14:paraId="6B45B54D" w14:textId="77777777" w:rsidR="00D5008F" w:rsidRPr="002E7473" w:rsidRDefault="00D5008F" w:rsidP="004C2285">
      <w:pPr>
        <w:pStyle w:val="Paragraphedeliste1"/>
        <w:spacing w:after="0"/>
        <w:ind w:left="-284"/>
        <w:rPr>
          <w:rFonts w:asciiTheme="minorHAnsi" w:hAnsiTheme="minorHAnsi" w:cstheme="minorHAnsi"/>
        </w:rPr>
      </w:pPr>
    </w:p>
    <w:tbl>
      <w:tblPr>
        <w:tblW w:w="5104" w:type="dxa"/>
        <w:tblInd w:w="-356" w:type="dxa"/>
        <w:tblCellMar>
          <w:left w:w="70" w:type="dxa"/>
          <w:right w:w="70" w:type="dxa"/>
        </w:tblCellMar>
        <w:tblLook w:val="0000" w:firstRow="0" w:lastRow="0" w:firstColumn="0" w:lastColumn="0" w:noHBand="0" w:noVBand="0"/>
      </w:tblPr>
      <w:tblGrid>
        <w:gridCol w:w="5104"/>
      </w:tblGrid>
      <w:tr w:rsidR="002607EB" w:rsidRPr="00F513F4" w14:paraId="732D854F" w14:textId="77777777" w:rsidTr="1FD67D45">
        <w:tc>
          <w:tcPr>
            <w:tcW w:w="5104" w:type="dxa"/>
          </w:tcPr>
          <w:p w14:paraId="6C494A59" w14:textId="77777777" w:rsidR="002607EB" w:rsidRPr="002E7473" w:rsidRDefault="4EBD7EE0" w:rsidP="49E8EF33">
            <w:pPr>
              <w:pStyle w:val="NormalWeb"/>
              <w:suppressAutoHyphens/>
              <w:spacing w:before="0" w:beforeAutospacing="0" w:after="0" w:afterAutospacing="0" w:line="276" w:lineRule="auto"/>
              <w:rPr>
                <w:rFonts w:asciiTheme="minorHAnsi" w:hAnsiTheme="minorHAnsi" w:cstheme="minorHAnsi"/>
                <w:b/>
                <w:bCs/>
                <w:spacing w:val="-3"/>
                <w:sz w:val="22"/>
                <w:szCs w:val="22"/>
              </w:rPr>
            </w:pPr>
            <w:r w:rsidRPr="002E7473">
              <w:rPr>
                <w:rFonts w:asciiTheme="minorHAnsi" w:hAnsiTheme="minorHAnsi" w:cstheme="minorBidi"/>
                <w:b/>
                <w:bCs/>
                <w:spacing w:val="-3"/>
                <w:sz w:val="22"/>
                <w:szCs w:val="22"/>
              </w:rPr>
              <w:t>Source</w:t>
            </w:r>
          </w:p>
          <w:p w14:paraId="52B63071" w14:textId="77777777" w:rsidR="002607EB" w:rsidRPr="002E7473" w:rsidRDefault="7AAFF214" w:rsidP="1FD67D45">
            <w:pPr>
              <w:pStyle w:val="NormalWeb"/>
              <w:spacing w:before="0" w:beforeAutospacing="0" w:after="0" w:afterAutospacing="0" w:line="276" w:lineRule="auto"/>
            </w:pPr>
            <w:r w:rsidRPr="002E7473">
              <w:rPr>
                <w:rFonts w:asciiTheme="minorHAnsi" w:hAnsiTheme="minorHAnsi" w:cstheme="minorBidi"/>
                <w:sz w:val="22"/>
                <w:szCs w:val="22"/>
              </w:rPr>
              <w:t>Marie-Hélène Lavoie</w:t>
            </w:r>
          </w:p>
          <w:p w14:paraId="326D3F7C" w14:textId="77777777" w:rsidR="002607EB" w:rsidRPr="002E7473" w:rsidRDefault="5B58AFB5" w:rsidP="1FD67D45">
            <w:pPr>
              <w:pStyle w:val="NormalWeb"/>
              <w:spacing w:before="0" w:beforeAutospacing="0" w:after="0" w:afterAutospacing="0" w:line="276" w:lineRule="auto"/>
            </w:pPr>
            <w:r w:rsidRPr="002E7473">
              <w:rPr>
                <w:rFonts w:asciiTheme="minorHAnsi" w:hAnsiTheme="minorHAnsi" w:cstheme="minorBidi"/>
                <w:sz w:val="22"/>
                <w:szCs w:val="22"/>
              </w:rPr>
              <w:t>Agente aux communications et événements</w:t>
            </w:r>
          </w:p>
          <w:p w14:paraId="2429491F" w14:textId="77777777" w:rsidR="002607EB" w:rsidRPr="002E7473" w:rsidRDefault="5B58AFB5" w:rsidP="1FD67D45">
            <w:pPr>
              <w:pStyle w:val="NormalWeb"/>
              <w:spacing w:before="0" w:beforeAutospacing="0" w:after="0" w:afterAutospacing="0" w:line="276" w:lineRule="auto"/>
            </w:pPr>
            <w:r w:rsidRPr="002E7473">
              <w:rPr>
                <w:rFonts w:asciiTheme="minorHAnsi" w:hAnsiTheme="minorHAnsi" w:cstheme="minorBidi"/>
                <w:sz w:val="22"/>
                <w:szCs w:val="22"/>
              </w:rPr>
              <w:t>Conseil de la culture de l’Abitibi-Témiscamingue</w:t>
            </w:r>
          </w:p>
          <w:p w14:paraId="5EE6F244" w14:textId="77777777" w:rsidR="002607EB" w:rsidRPr="002E7473" w:rsidRDefault="5B58AFB5" w:rsidP="1FD67D45">
            <w:pPr>
              <w:pStyle w:val="NormalWeb"/>
              <w:spacing w:before="0" w:beforeAutospacing="0" w:after="0" w:afterAutospacing="0" w:line="276" w:lineRule="auto"/>
            </w:pPr>
            <w:hyperlink r:id="rId14">
              <w:r w:rsidRPr="002E7473">
                <w:rPr>
                  <w:rStyle w:val="Lienhypertexte"/>
                  <w:rFonts w:asciiTheme="minorHAnsi" w:hAnsiTheme="minorHAnsi" w:cstheme="minorBidi"/>
                  <w:sz w:val="22"/>
                  <w:szCs w:val="22"/>
                </w:rPr>
                <w:t>communication@ccat.qc.ca</w:t>
              </w:r>
            </w:hyperlink>
          </w:p>
          <w:p w14:paraId="5CE909E5" w14:textId="77777777" w:rsidR="002607EB" w:rsidRPr="00F513F4" w:rsidRDefault="5B58AFB5" w:rsidP="1FD67D45">
            <w:pPr>
              <w:pStyle w:val="NormalWeb"/>
              <w:spacing w:before="0" w:beforeAutospacing="0" w:after="0" w:afterAutospacing="0" w:line="276" w:lineRule="auto"/>
            </w:pPr>
            <w:r w:rsidRPr="002E7473">
              <w:rPr>
                <w:rFonts w:asciiTheme="minorHAnsi" w:hAnsiTheme="minorHAnsi" w:cstheme="minorBidi"/>
                <w:sz w:val="22"/>
                <w:szCs w:val="22"/>
              </w:rPr>
              <w:t>819-764-9511 poste 9</w:t>
            </w:r>
          </w:p>
        </w:tc>
      </w:tr>
    </w:tbl>
    <w:p w14:paraId="34600FDA" w14:textId="77777777" w:rsidR="00D5008F" w:rsidRPr="00F513F4" w:rsidRDefault="00D5008F" w:rsidP="004C2285">
      <w:pPr>
        <w:pStyle w:val="Paragraphedeliste1"/>
        <w:spacing w:after="0"/>
        <w:ind w:left="-284"/>
        <w:rPr>
          <w:rFonts w:asciiTheme="minorHAnsi" w:hAnsiTheme="minorHAnsi" w:cstheme="minorHAnsi"/>
          <w:i/>
          <w:iCs/>
        </w:rPr>
      </w:pPr>
    </w:p>
    <w:sectPr w:rsidR="00D5008F" w:rsidRPr="00F513F4" w:rsidSect="00C66EDC">
      <w:headerReference w:type="default" r:id="rId15"/>
      <w:footerReference w:type="default" r:id="rId16"/>
      <w:pgSz w:w="12240" w:h="15840"/>
      <w:pgMar w:top="567" w:right="900"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AA21" w14:textId="77777777" w:rsidR="00395343" w:rsidRDefault="00395343">
      <w:pPr>
        <w:spacing w:after="0" w:line="240" w:lineRule="auto"/>
      </w:pPr>
      <w:r>
        <w:separator/>
      </w:r>
    </w:p>
  </w:endnote>
  <w:endnote w:type="continuationSeparator" w:id="0">
    <w:p w14:paraId="28F95DB7" w14:textId="77777777" w:rsidR="00395343" w:rsidRDefault="0039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E0601E3" w14:paraId="176EF525" w14:textId="77777777" w:rsidTr="3E0601E3">
      <w:trPr>
        <w:trHeight w:val="300"/>
      </w:trPr>
      <w:tc>
        <w:tcPr>
          <w:tcW w:w="3210" w:type="dxa"/>
        </w:tcPr>
        <w:p w14:paraId="32CC2349" w14:textId="77777777" w:rsidR="3E0601E3" w:rsidRDefault="3E0601E3" w:rsidP="3E0601E3">
          <w:pPr>
            <w:pStyle w:val="En-tte"/>
            <w:ind w:left="-115"/>
          </w:pPr>
        </w:p>
      </w:tc>
      <w:tc>
        <w:tcPr>
          <w:tcW w:w="3210" w:type="dxa"/>
        </w:tcPr>
        <w:p w14:paraId="5C728780" w14:textId="77777777" w:rsidR="3E0601E3" w:rsidRDefault="3E0601E3" w:rsidP="3E0601E3">
          <w:pPr>
            <w:pStyle w:val="En-tte"/>
            <w:jc w:val="center"/>
          </w:pPr>
        </w:p>
      </w:tc>
      <w:tc>
        <w:tcPr>
          <w:tcW w:w="3210" w:type="dxa"/>
        </w:tcPr>
        <w:p w14:paraId="30C52D7E" w14:textId="77777777" w:rsidR="3E0601E3" w:rsidRDefault="3E0601E3" w:rsidP="3E0601E3">
          <w:pPr>
            <w:pStyle w:val="En-tte"/>
            <w:ind w:right="-115"/>
            <w:jc w:val="right"/>
          </w:pPr>
        </w:p>
      </w:tc>
    </w:tr>
  </w:tbl>
  <w:p w14:paraId="16BF5307" w14:textId="77777777" w:rsidR="3E0601E3" w:rsidRDefault="3E0601E3" w:rsidP="3E0601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34BA" w14:textId="77777777" w:rsidR="00395343" w:rsidRDefault="00395343">
      <w:pPr>
        <w:spacing w:after="0" w:line="240" w:lineRule="auto"/>
      </w:pPr>
      <w:r>
        <w:separator/>
      </w:r>
    </w:p>
  </w:footnote>
  <w:footnote w:type="continuationSeparator" w:id="0">
    <w:p w14:paraId="7E7953A3" w14:textId="77777777" w:rsidR="00395343" w:rsidRDefault="0039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E0601E3" w14:paraId="46E58392" w14:textId="77777777" w:rsidTr="3E0601E3">
      <w:trPr>
        <w:trHeight w:val="300"/>
      </w:trPr>
      <w:tc>
        <w:tcPr>
          <w:tcW w:w="3210" w:type="dxa"/>
        </w:tcPr>
        <w:p w14:paraId="2C5E7BB6" w14:textId="77777777" w:rsidR="3E0601E3" w:rsidRDefault="3E0601E3" w:rsidP="3E0601E3">
          <w:pPr>
            <w:pStyle w:val="En-tte"/>
            <w:ind w:left="-115"/>
          </w:pPr>
        </w:p>
      </w:tc>
      <w:tc>
        <w:tcPr>
          <w:tcW w:w="3210" w:type="dxa"/>
        </w:tcPr>
        <w:p w14:paraId="3FBCBC39" w14:textId="77777777" w:rsidR="3E0601E3" w:rsidRDefault="3E0601E3" w:rsidP="3E0601E3">
          <w:pPr>
            <w:pStyle w:val="En-tte"/>
            <w:jc w:val="center"/>
          </w:pPr>
        </w:p>
      </w:tc>
      <w:tc>
        <w:tcPr>
          <w:tcW w:w="3210" w:type="dxa"/>
        </w:tcPr>
        <w:p w14:paraId="468DBF02" w14:textId="77777777" w:rsidR="3E0601E3" w:rsidRDefault="3E0601E3" w:rsidP="3E0601E3">
          <w:pPr>
            <w:pStyle w:val="En-tte"/>
            <w:ind w:right="-115"/>
            <w:jc w:val="right"/>
          </w:pPr>
        </w:p>
      </w:tc>
    </w:tr>
  </w:tbl>
  <w:p w14:paraId="6DF55BB1" w14:textId="77777777" w:rsidR="3E0601E3" w:rsidRDefault="3E0601E3" w:rsidP="3E0601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7DD7"/>
    <w:multiLevelType w:val="hybridMultilevel"/>
    <w:tmpl w:val="0418841A"/>
    <w:lvl w:ilvl="0" w:tplc="0C0C0001">
      <w:start w:val="1"/>
      <w:numFmt w:val="bullet"/>
      <w:lvlText w:val=""/>
      <w:lvlJc w:val="left"/>
      <w:pPr>
        <w:ind w:left="436" w:hanging="360"/>
      </w:pPr>
      <w:rPr>
        <w:rFonts w:ascii="Symbol" w:hAnsi="Symbol"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1" w15:restartNumberingAfterBreak="0">
    <w:nsid w:val="2FC72E86"/>
    <w:multiLevelType w:val="hybridMultilevel"/>
    <w:tmpl w:val="1B4CA9EE"/>
    <w:lvl w:ilvl="0" w:tplc="8AF0A2EC">
      <w:start w:val="6"/>
      <w:numFmt w:val="bullet"/>
      <w:lvlText w:val="-"/>
      <w:lvlJc w:val="left"/>
      <w:pPr>
        <w:ind w:left="436" w:hanging="360"/>
      </w:pPr>
      <w:rPr>
        <w:rFonts w:ascii="Times New Roman" w:eastAsia="Times New Roman" w:hAnsi="Times New Roman"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2" w15:restartNumberingAfterBreak="0">
    <w:nsid w:val="4A306869"/>
    <w:multiLevelType w:val="hybridMultilevel"/>
    <w:tmpl w:val="B64CF738"/>
    <w:lvl w:ilvl="0" w:tplc="8AF0A2EC">
      <w:start w:val="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1F90493"/>
    <w:multiLevelType w:val="hybridMultilevel"/>
    <w:tmpl w:val="77021D2A"/>
    <w:lvl w:ilvl="0" w:tplc="0C0C000B">
      <w:start w:val="1"/>
      <w:numFmt w:val="bullet"/>
      <w:lvlText w:val=""/>
      <w:lvlJc w:val="left"/>
      <w:pPr>
        <w:ind w:left="1156" w:hanging="360"/>
      </w:pPr>
      <w:rPr>
        <w:rFonts w:ascii="Wingdings" w:hAnsi="Wingdings" w:hint="default"/>
      </w:rPr>
    </w:lvl>
    <w:lvl w:ilvl="1" w:tplc="0C0C0003" w:tentative="1">
      <w:start w:val="1"/>
      <w:numFmt w:val="bullet"/>
      <w:lvlText w:val="o"/>
      <w:lvlJc w:val="left"/>
      <w:pPr>
        <w:ind w:left="1876" w:hanging="360"/>
      </w:pPr>
      <w:rPr>
        <w:rFonts w:ascii="Courier New" w:hAnsi="Courier New" w:cs="Courier New" w:hint="default"/>
      </w:rPr>
    </w:lvl>
    <w:lvl w:ilvl="2" w:tplc="0C0C0005" w:tentative="1">
      <w:start w:val="1"/>
      <w:numFmt w:val="bullet"/>
      <w:lvlText w:val=""/>
      <w:lvlJc w:val="left"/>
      <w:pPr>
        <w:ind w:left="2596" w:hanging="360"/>
      </w:pPr>
      <w:rPr>
        <w:rFonts w:ascii="Wingdings" w:hAnsi="Wingdings" w:hint="default"/>
      </w:rPr>
    </w:lvl>
    <w:lvl w:ilvl="3" w:tplc="0C0C0001" w:tentative="1">
      <w:start w:val="1"/>
      <w:numFmt w:val="bullet"/>
      <w:lvlText w:val=""/>
      <w:lvlJc w:val="left"/>
      <w:pPr>
        <w:ind w:left="3316" w:hanging="360"/>
      </w:pPr>
      <w:rPr>
        <w:rFonts w:ascii="Symbol" w:hAnsi="Symbol" w:hint="default"/>
      </w:rPr>
    </w:lvl>
    <w:lvl w:ilvl="4" w:tplc="0C0C0003" w:tentative="1">
      <w:start w:val="1"/>
      <w:numFmt w:val="bullet"/>
      <w:lvlText w:val="o"/>
      <w:lvlJc w:val="left"/>
      <w:pPr>
        <w:ind w:left="4036" w:hanging="360"/>
      </w:pPr>
      <w:rPr>
        <w:rFonts w:ascii="Courier New" w:hAnsi="Courier New" w:cs="Courier New" w:hint="default"/>
      </w:rPr>
    </w:lvl>
    <w:lvl w:ilvl="5" w:tplc="0C0C0005" w:tentative="1">
      <w:start w:val="1"/>
      <w:numFmt w:val="bullet"/>
      <w:lvlText w:val=""/>
      <w:lvlJc w:val="left"/>
      <w:pPr>
        <w:ind w:left="4756" w:hanging="360"/>
      </w:pPr>
      <w:rPr>
        <w:rFonts w:ascii="Wingdings" w:hAnsi="Wingdings" w:hint="default"/>
      </w:rPr>
    </w:lvl>
    <w:lvl w:ilvl="6" w:tplc="0C0C0001" w:tentative="1">
      <w:start w:val="1"/>
      <w:numFmt w:val="bullet"/>
      <w:lvlText w:val=""/>
      <w:lvlJc w:val="left"/>
      <w:pPr>
        <w:ind w:left="5476" w:hanging="360"/>
      </w:pPr>
      <w:rPr>
        <w:rFonts w:ascii="Symbol" w:hAnsi="Symbol" w:hint="default"/>
      </w:rPr>
    </w:lvl>
    <w:lvl w:ilvl="7" w:tplc="0C0C0003" w:tentative="1">
      <w:start w:val="1"/>
      <w:numFmt w:val="bullet"/>
      <w:lvlText w:val="o"/>
      <w:lvlJc w:val="left"/>
      <w:pPr>
        <w:ind w:left="6196" w:hanging="360"/>
      </w:pPr>
      <w:rPr>
        <w:rFonts w:ascii="Courier New" w:hAnsi="Courier New" w:cs="Courier New" w:hint="default"/>
      </w:rPr>
    </w:lvl>
    <w:lvl w:ilvl="8" w:tplc="0C0C0005" w:tentative="1">
      <w:start w:val="1"/>
      <w:numFmt w:val="bullet"/>
      <w:lvlText w:val=""/>
      <w:lvlJc w:val="left"/>
      <w:pPr>
        <w:ind w:left="6916" w:hanging="360"/>
      </w:pPr>
      <w:rPr>
        <w:rFonts w:ascii="Wingdings" w:hAnsi="Wingdings" w:hint="default"/>
      </w:rPr>
    </w:lvl>
  </w:abstractNum>
  <w:abstractNum w:abstractNumId="4" w15:restartNumberingAfterBreak="0">
    <w:nsid w:val="6622608A"/>
    <w:multiLevelType w:val="hybridMultilevel"/>
    <w:tmpl w:val="90989E32"/>
    <w:lvl w:ilvl="0" w:tplc="0C0C0001">
      <w:start w:val="1"/>
      <w:numFmt w:val="bullet"/>
      <w:lvlText w:val=""/>
      <w:lvlJc w:val="left"/>
      <w:pPr>
        <w:ind w:left="436" w:hanging="360"/>
      </w:pPr>
      <w:rPr>
        <w:rFonts w:ascii="Symbol" w:hAnsi="Symbol"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num w:numId="1" w16cid:durableId="268511423">
    <w:abstractNumId w:val="2"/>
  </w:num>
  <w:num w:numId="2" w16cid:durableId="1063917081">
    <w:abstractNumId w:val="0"/>
  </w:num>
  <w:num w:numId="3" w16cid:durableId="1973168524">
    <w:abstractNumId w:val="4"/>
  </w:num>
  <w:num w:numId="4" w16cid:durableId="146896237">
    <w:abstractNumId w:val="3"/>
  </w:num>
  <w:num w:numId="5" w16cid:durableId="29491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DF"/>
    <w:rsid w:val="00003492"/>
    <w:rsid w:val="0003322D"/>
    <w:rsid w:val="00035893"/>
    <w:rsid w:val="000638E8"/>
    <w:rsid w:val="00067E13"/>
    <w:rsid w:val="000829C1"/>
    <w:rsid w:val="000F1F3A"/>
    <w:rsid w:val="000F2731"/>
    <w:rsid w:val="000F3E25"/>
    <w:rsid w:val="000F4C40"/>
    <w:rsid w:val="00113E53"/>
    <w:rsid w:val="001748CF"/>
    <w:rsid w:val="001878AC"/>
    <w:rsid w:val="001916FE"/>
    <w:rsid w:val="001D2FBA"/>
    <w:rsid w:val="001D4425"/>
    <w:rsid w:val="00224885"/>
    <w:rsid w:val="00224F4D"/>
    <w:rsid w:val="00235FCE"/>
    <w:rsid w:val="00251FD2"/>
    <w:rsid w:val="00253F8C"/>
    <w:rsid w:val="002607EB"/>
    <w:rsid w:val="002722AE"/>
    <w:rsid w:val="002768BF"/>
    <w:rsid w:val="00286B4F"/>
    <w:rsid w:val="002871BA"/>
    <w:rsid w:val="00287BCE"/>
    <w:rsid w:val="002A72B6"/>
    <w:rsid w:val="002E6BD6"/>
    <w:rsid w:val="002E7473"/>
    <w:rsid w:val="002F5953"/>
    <w:rsid w:val="00344CB1"/>
    <w:rsid w:val="003516A0"/>
    <w:rsid w:val="00356385"/>
    <w:rsid w:val="00366E9D"/>
    <w:rsid w:val="003769BC"/>
    <w:rsid w:val="0038523E"/>
    <w:rsid w:val="00395343"/>
    <w:rsid w:val="003A1542"/>
    <w:rsid w:val="003A3B55"/>
    <w:rsid w:val="003C3B21"/>
    <w:rsid w:val="003E25D7"/>
    <w:rsid w:val="003F6346"/>
    <w:rsid w:val="003F7844"/>
    <w:rsid w:val="00412B28"/>
    <w:rsid w:val="004279DF"/>
    <w:rsid w:val="00455543"/>
    <w:rsid w:val="00456F4F"/>
    <w:rsid w:val="00497B24"/>
    <w:rsid w:val="004B32C4"/>
    <w:rsid w:val="004B51DC"/>
    <w:rsid w:val="004C2285"/>
    <w:rsid w:val="004E034D"/>
    <w:rsid w:val="004E4EC6"/>
    <w:rsid w:val="005011EB"/>
    <w:rsid w:val="005100B2"/>
    <w:rsid w:val="00513931"/>
    <w:rsid w:val="00515E58"/>
    <w:rsid w:val="00523EE8"/>
    <w:rsid w:val="00524B67"/>
    <w:rsid w:val="00533476"/>
    <w:rsid w:val="00541E4A"/>
    <w:rsid w:val="0054336E"/>
    <w:rsid w:val="0057315D"/>
    <w:rsid w:val="00580868"/>
    <w:rsid w:val="005A6C9F"/>
    <w:rsid w:val="005B1F55"/>
    <w:rsid w:val="005C3892"/>
    <w:rsid w:val="005F3F50"/>
    <w:rsid w:val="005F6790"/>
    <w:rsid w:val="006268D5"/>
    <w:rsid w:val="0065269B"/>
    <w:rsid w:val="00661DA1"/>
    <w:rsid w:val="006A4D0A"/>
    <w:rsid w:val="006A58B8"/>
    <w:rsid w:val="006D500A"/>
    <w:rsid w:val="006E065D"/>
    <w:rsid w:val="006E5FA1"/>
    <w:rsid w:val="00723D4D"/>
    <w:rsid w:val="007778DC"/>
    <w:rsid w:val="00777A37"/>
    <w:rsid w:val="00790D3D"/>
    <w:rsid w:val="00791668"/>
    <w:rsid w:val="007A0608"/>
    <w:rsid w:val="007A7F9C"/>
    <w:rsid w:val="007E3CB2"/>
    <w:rsid w:val="007E77EF"/>
    <w:rsid w:val="00832B7A"/>
    <w:rsid w:val="008527D5"/>
    <w:rsid w:val="00857B93"/>
    <w:rsid w:val="00870B11"/>
    <w:rsid w:val="00883925"/>
    <w:rsid w:val="008A1060"/>
    <w:rsid w:val="008B0FD6"/>
    <w:rsid w:val="008E3932"/>
    <w:rsid w:val="008F71CE"/>
    <w:rsid w:val="008F7AF0"/>
    <w:rsid w:val="009818D1"/>
    <w:rsid w:val="00996837"/>
    <w:rsid w:val="009C7CF6"/>
    <w:rsid w:val="00A05522"/>
    <w:rsid w:val="00A145FF"/>
    <w:rsid w:val="00A33247"/>
    <w:rsid w:val="00A42C09"/>
    <w:rsid w:val="00A47DD9"/>
    <w:rsid w:val="00A712AE"/>
    <w:rsid w:val="00A743F1"/>
    <w:rsid w:val="00A74BAA"/>
    <w:rsid w:val="00A81B84"/>
    <w:rsid w:val="00A911EA"/>
    <w:rsid w:val="00AD03AC"/>
    <w:rsid w:val="00AD2DEF"/>
    <w:rsid w:val="00AF5870"/>
    <w:rsid w:val="00AF6802"/>
    <w:rsid w:val="00B26B3F"/>
    <w:rsid w:val="00B32C3C"/>
    <w:rsid w:val="00B42349"/>
    <w:rsid w:val="00BB4087"/>
    <w:rsid w:val="00BB49FA"/>
    <w:rsid w:val="00BB57E7"/>
    <w:rsid w:val="00BB773C"/>
    <w:rsid w:val="00BD00F1"/>
    <w:rsid w:val="00BE1BD6"/>
    <w:rsid w:val="00C314B3"/>
    <w:rsid w:val="00C423EB"/>
    <w:rsid w:val="00C518F6"/>
    <w:rsid w:val="00C66EDC"/>
    <w:rsid w:val="00C70A72"/>
    <w:rsid w:val="00C872A1"/>
    <w:rsid w:val="00CB02D5"/>
    <w:rsid w:val="00CB7C69"/>
    <w:rsid w:val="00CD1B0C"/>
    <w:rsid w:val="00CD3078"/>
    <w:rsid w:val="00CE346D"/>
    <w:rsid w:val="00CF2CD2"/>
    <w:rsid w:val="00D15E82"/>
    <w:rsid w:val="00D22DED"/>
    <w:rsid w:val="00D2528B"/>
    <w:rsid w:val="00D43CA3"/>
    <w:rsid w:val="00D46791"/>
    <w:rsid w:val="00D5008F"/>
    <w:rsid w:val="00D572E6"/>
    <w:rsid w:val="00D647A4"/>
    <w:rsid w:val="00D665DC"/>
    <w:rsid w:val="00D671D0"/>
    <w:rsid w:val="00DE117A"/>
    <w:rsid w:val="00DE6239"/>
    <w:rsid w:val="00DF574B"/>
    <w:rsid w:val="00E11CDE"/>
    <w:rsid w:val="00E317C6"/>
    <w:rsid w:val="00E55524"/>
    <w:rsid w:val="00E57DB7"/>
    <w:rsid w:val="00E6250E"/>
    <w:rsid w:val="00E62555"/>
    <w:rsid w:val="00E952B9"/>
    <w:rsid w:val="00EF2E0C"/>
    <w:rsid w:val="00EF3BA3"/>
    <w:rsid w:val="00F01802"/>
    <w:rsid w:val="00F04DC4"/>
    <w:rsid w:val="00F1168D"/>
    <w:rsid w:val="00F37627"/>
    <w:rsid w:val="00F46F81"/>
    <w:rsid w:val="00F513F4"/>
    <w:rsid w:val="00F70E4B"/>
    <w:rsid w:val="00F77222"/>
    <w:rsid w:val="00F81849"/>
    <w:rsid w:val="00F828CF"/>
    <w:rsid w:val="00FA04FA"/>
    <w:rsid w:val="00FB0AA5"/>
    <w:rsid w:val="00FC34D9"/>
    <w:rsid w:val="04C5B189"/>
    <w:rsid w:val="05683615"/>
    <w:rsid w:val="086F95E9"/>
    <w:rsid w:val="0D086435"/>
    <w:rsid w:val="0E0EAEA0"/>
    <w:rsid w:val="0F0728EC"/>
    <w:rsid w:val="0F2D20F2"/>
    <w:rsid w:val="0F68C712"/>
    <w:rsid w:val="0F7C0441"/>
    <w:rsid w:val="10D357A3"/>
    <w:rsid w:val="116AD10E"/>
    <w:rsid w:val="121ABBB5"/>
    <w:rsid w:val="159638EE"/>
    <w:rsid w:val="16FEA504"/>
    <w:rsid w:val="17177687"/>
    <w:rsid w:val="181F38FF"/>
    <w:rsid w:val="1ADCB646"/>
    <w:rsid w:val="1CA4C612"/>
    <w:rsid w:val="1D117F9F"/>
    <w:rsid w:val="1DCF44DC"/>
    <w:rsid w:val="1DD831E1"/>
    <w:rsid w:val="1F1B232C"/>
    <w:rsid w:val="1FD67D45"/>
    <w:rsid w:val="23C02DBE"/>
    <w:rsid w:val="24E34FDA"/>
    <w:rsid w:val="267115C1"/>
    <w:rsid w:val="27340068"/>
    <w:rsid w:val="28C7F7B7"/>
    <w:rsid w:val="29293D90"/>
    <w:rsid w:val="29C2C87F"/>
    <w:rsid w:val="2A13BF05"/>
    <w:rsid w:val="2A463D21"/>
    <w:rsid w:val="2ACF437C"/>
    <w:rsid w:val="2B7014DB"/>
    <w:rsid w:val="2C6FED8C"/>
    <w:rsid w:val="2E7BDF67"/>
    <w:rsid w:val="2ED35873"/>
    <w:rsid w:val="2F1EF24D"/>
    <w:rsid w:val="2F9A02CE"/>
    <w:rsid w:val="305A5938"/>
    <w:rsid w:val="31CAA3E5"/>
    <w:rsid w:val="33C3AC05"/>
    <w:rsid w:val="34BB5699"/>
    <w:rsid w:val="371139CC"/>
    <w:rsid w:val="37A56472"/>
    <w:rsid w:val="387E3406"/>
    <w:rsid w:val="38FF04F2"/>
    <w:rsid w:val="396A6951"/>
    <w:rsid w:val="3B277473"/>
    <w:rsid w:val="3B2D37E1"/>
    <w:rsid w:val="3B73567C"/>
    <w:rsid w:val="3BB5993C"/>
    <w:rsid w:val="3BC074AE"/>
    <w:rsid w:val="3CCDCA77"/>
    <w:rsid w:val="3DE09297"/>
    <w:rsid w:val="3E0601E3"/>
    <w:rsid w:val="41573969"/>
    <w:rsid w:val="418CD6A9"/>
    <w:rsid w:val="42B3F88B"/>
    <w:rsid w:val="4341AF75"/>
    <w:rsid w:val="43AB6134"/>
    <w:rsid w:val="453DC75F"/>
    <w:rsid w:val="47F23F4C"/>
    <w:rsid w:val="4894C0A5"/>
    <w:rsid w:val="49E8EF33"/>
    <w:rsid w:val="4BFE6895"/>
    <w:rsid w:val="4CCBE33E"/>
    <w:rsid w:val="4DA0DB9B"/>
    <w:rsid w:val="4E99E9C3"/>
    <w:rsid w:val="4EBD7EE0"/>
    <w:rsid w:val="4F0724BB"/>
    <w:rsid w:val="51AB68C3"/>
    <w:rsid w:val="55DDA2E1"/>
    <w:rsid w:val="55E0C359"/>
    <w:rsid w:val="56155DC8"/>
    <w:rsid w:val="5771949D"/>
    <w:rsid w:val="59275F6D"/>
    <w:rsid w:val="598C7A1B"/>
    <w:rsid w:val="5B58AFB5"/>
    <w:rsid w:val="5C78419E"/>
    <w:rsid w:val="5EE77F9C"/>
    <w:rsid w:val="5FD13B2B"/>
    <w:rsid w:val="611C31F9"/>
    <w:rsid w:val="616465C2"/>
    <w:rsid w:val="62231136"/>
    <w:rsid w:val="62739D01"/>
    <w:rsid w:val="629FAC0F"/>
    <w:rsid w:val="6307AF18"/>
    <w:rsid w:val="651FC17D"/>
    <w:rsid w:val="667D00DB"/>
    <w:rsid w:val="66B0A891"/>
    <w:rsid w:val="67B05F50"/>
    <w:rsid w:val="67D7C03D"/>
    <w:rsid w:val="6943F91D"/>
    <w:rsid w:val="6CFFAFE0"/>
    <w:rsid w:val="6D568EB7"/>
    <w:rsid w:val="6DB63CF0"/>
    <w:rsid w:val="6E1D93EC"/>
    <w:rsid w:val="6ECD58FA"/>
    <w:rsid w:val="6ED40FCC"/>
    <w:rsid w:val="6F705478"/>
    <w:rsid w:val="6FE21750"/>
    <w:rsid w:val="7000F0B0"/>
    <w:rsid w:val="70664CD1"/>
    <w:rsid w:val="7085BFFC"/>
    <w:rsid w:val="70ED9CBB"/>
    <w:rsid w:val="71284331"/>
    <w:rsid w:val="71EFF55E"/>
    <w:rsid w:val="72887DB7"/>
    <w:rsid w:val="73D079A9"/>
    <w:rsid w:val="75C8CA2E"/>
    <w:rsid w:val="7668BE4A"/>
    <w:rsid w:val="76AF781A"/>
    <w:rsid w:val="7761A8D9"/>
    <w:rsid w:val="7A89726D"/>
    <w:rsid w:val="7AAFF214"/>
    <w:rsid w:val="7B6B3103"/>
    <w:rsid w:val="7E2E454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591A6"/>
  <w15:chartTrackingRefBased/>
  <w15:docId w15:val="{9EA1ABB4-4A68-4AA6-9534-8197FE89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lang w:val="fr-CA" w:eastAsia="en-US"/>
    </w:rPr>
  </w:style>
  <w:style w:type="paragraph" w:styleId="Titre1">
    <w:name w:val="heading 1"/>
    <w:basedOn w:val="Normal"/>
    <w:next w:val="Normal"/>
    <w:qFormat/>
    <w:pPr>
      <w:keepNext/>
      <w:tabs>
        <w:tab w:val="left" w:pos="180"/>
      </w:tabs>
      <w:spacing w:after="0" w:line="240" w:lineRule="auto"/>
      <w:ind w:left="-360"/>
      <w:jc w:val="both"/>
      <w:outlineLvl w:val="0"/>
    </w:pPr>
    <w:rPr>
      <w:b/>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pPr>
      <w:ind w:left="720"/>
    </w:pPr>
  </w:style>
  <w:style w:type="paragraph" w:customStyle="1" w:styleId="Textedebulles1">
    <w:name w:val="Texte de bulles1"/>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En-tte">
    <w:name w:val="header"/>
    <w:basedOn w:val="Normal"/>
    <w:semiHidden/>
    <w:pPr>
      <w:tabs>
        <w:tab w:val="center" w:pos="4320"/>
        <w:tab w:val="right" w:pos="8640"/>
      </w:tabs>
      <w:spacing w:after="0" w:line="240" w:lineRule="auto"/>
    </w:pPr>
    <w:rPr>
      <w:rFonts w:ascii="Times New Roman" w:hAnsi="Times New Roman"/>
      <w:sz w:val="20"/>
      <w:szCs w:val="20"/>
      <w:lang w:eastAsia="fr-FR"/>
    </w:rPr>
  </w:style>
  <w:style w:type="paragraph" w:styleId="Retraitcorpsdetexte">
    <w:name w:val="Body Text Indent"/>
    <w:basedOn w:val="Normal"/>
    <w:semiHidden/>
    <w:pPr>
      <w:tabs>
        <w:tab w:val="left" w:pos="180"/>
      </w:tabs>
      <w:spacing w:after="0" w:line="240" w:lineRule="auto"/>
      <w:ind w:left="-360"/>
      <w:jc w:val="both"/>
    </w:p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lang w:eastAsia="fr-FR"/>
    </w:rPr>
  </w:style>
  <w:style w:type="character" w:styleId="Lienhypertexte">
    <w:name w:val="Hyperlink"/>
    <w:semiHidden/>
    <w:rPr>
      <w:color w:val="0000FF"/>
      <w:u w:val="single"/>
    </w:rPr>
  </w:style>
  <w:style w:type="paragraph" w:customStyle="1" w:styleId="BalloonText0">
    <w:name w:val="Balloon Text0"/>
    <w:basedOn w:val="Normal"/>
    <w:link w:val="TextedebullesCar"/>
    <w:uiPriority w:val="99"/>
    <w:semiHidden/>
    <w:unhideWhenUsed/>
    <w:rsid w:val="00F1168D"/>
    <w:pPr>
      <w:spacing w:after="0" w:line="240" w:lineRule="auto"/>
    </w:pPr>
    <w:rPr>
      <w:rFonts w:ascii="Tahoma" w:hAnsi="Tahoma" w:cs="Tahoma"/>
      <w:sz w:val="16"/>
      <w:szCs w:val="16"/>
    </w:rPr>
  </w:style>
  <w:style w:type="character" w:customStyle="1" w:styleId="TextedebullesCar">
    <w:name w:val="Texte de bulles Car"/>
    <w:link w:val="BalloonText0"/>
    <w:uiPriority w:val="99"/>
    <w:semiHidden/>
    <w:rsid w:val="00F1168D"/>
    <w:rPr>
      <w:rFonts w:ascii="Tahoma" w:hAnsi="Tahoma" w:cs="Tahoma"/>
      <w:sz w:val="16"/>
      <w:szCs w:val="16"/>
      <w:lang w:eastAsia="en-US"/>
    </w:rPr>
  </w:style>
  <w:style w:type="character" w:styleId="Marquedecommentaire">
    <w:name w:val="annotation reference"/>
    <w:uiPriority w:val="99"/>
    <w:semiHidden/>
    <w:unhideWhenUsed/>
    <w:rsid w:val="004E034D"/>
    <w:rPr>
      <w:sz w:val="16"/>
      <w:szCs w:val="16"/>
    </w:rPr>
  </w:style>
  <w:style w:type="paragraph" w:styleId="Commentaire">
    <w:name w:val="annotation text"/>
    <w:basedOn w:val="Normal"/>
    <w:link w:val="CommentaireCar"/>
    <w:uiPriority w:val="99"/>
    <w:semiHidden/>
    <w:unhideWhenUsed/>
    <w:rsid w:val="004E034D"/>
    <w:rPr>
      <w:sz w:val="20"/>
      <w:szCs w:val="20"/>
    </w:rPr>
  </w:style>
  <w:style w:type="character" w:customStyle="1" w:styleId="CommentaireCar">
    <w:name w:val="Commentaire Car"/>
    <w:link w:val="Commentaire"/>
    <w:uiPriority w:val="99"/>
    <w:semiHidden/>
    <w:rsid w:val="004E034D"/>
    <w:rPr>
      <w:rFonts w:ascii="Calibri" w:hAnsi="Calibri"/>
      <w:lang w:eastAsia="en-US"/>
    </w:rPr>
  </w:style>
  <w:style w:type="paragraph" w:styleId="Objetducommentaire">
    <w:name w:val="annotation subject"/>
    <w:basedOn w:val="Commentaire"/>
    <w:next w:val="Commentaire"/>
    <w:link w:val="ObjetducommentaireCar"/>
    <w:uiPriority w:val="99"/>
    <w:semiHidden/>
    <w:unhideWhenUsed/>
    <w:rsid w:val="004E034D"/>
    <w:rPr>
      <w:b/>
      <w:bCs/>
    </w:rPr>
  </w:style>
  <w:style w:type="character" w:customStyle="1" w:styleId="ObjetducommentaireCar">
    <w:name w:val="Objet du commentaire Car"/>
    <w:link w:val="Objetducommentaire"/>
    <w:uiPriority w:val="99"/>
    <w:semiHidden/>
    <w:rsid w:val="004E034D"/>
    <w:rPr>
      <w:rFonts w:ascii="Calibri" w:hAnsi="Calibri"/>
      <w:b/>
      <w:bCs/>
      <w:lang w:eastAsia="en-US"/>
    </w:rPr>
  </w:style>
  <w:style w:type="paragraph" w:styleId="Textedebulles">
    <w:name w:val="Balloon Text"/>
    <w:basedOn w:val="Normal"/>
    <w:link w:val="TextedebullesCar1"/>
    <w:uiPriority w:val="99"/>
    <w:semiHidden/>
    <w:unhideWhenUsed/>
    <w:rsid w:val="005F6790"/>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5F6790"/>
    <w:rPr>
      <w:rFonts w:ascii="Segoe UI" w:hAnsi="Segoe UI" w:cs="Segoe UI"/>
      <w:sz w:val="18"/>
      <w:szCs w:val="18"/>
      <w:lang w:val="fr-CA" w:eastAsia="en-US"/>
    </w:rPr>
  </w:style>
  <w:style w:type="character" w:styleId="Mentionnonrsolue">
    <w:name w:val="Unresolved Mention"/>
    <w:basedOn w:val="Policepardfaut"/>
    <w:uiPriority w:val="99"/>
    <w:semiHidden/>
    <w:unhideWhenUsed/>
    <w:rsid w:val="00EF3BA3"/>
    <w:rPr>
      <w:color w:val="605E5C"/>
      <w:shd w:val="clear" w:color="auto" w:fill="E1DFDD"/>
    </w:rPr>
  </w:style>
  <w:style w:type="paragraph" w:styleId="Pieddepage">
    <w:name w:val="footer"/>
    <w:basedOn w:val="Normal"/>
    <w:uiPriority w:val="99"/>
    <w:unhideWhenUsed/>
    <w:rsid w:val="3E0601E3"/>
    <w:pPr>
      <w:tabs>
        <w:tab w:val="center" w:pos="4680"/>
        <w:tab w:val="right" w:pos="9360"/>
      </w:tabs>
      <w:spacing w:after="0"/>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79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003753">
      <w:bodyDiv w:val="1"/>
      <w:marLeft w:val="0"/>
      <w:marRight w:val="0"/>
      <w:marTop w:val="0"/>
      <w:marBottom w:val="0"/>
      <w:divBdr>
        <w:top w:val="none" w:sz="0" w:space="0" w:color="auto"/>
        <w:left w:val="none" w:sz="0" w:space="0" w:color="auto"/>
        <w:bottom w:val="none" w:sz="0" w:space="0" w:color="auto"/>
        <w:right w:val="none" w:sz="0" w:space="0" w:color="auto"/>
      </w:divBdr>
    </w:div>
    <w:div w:id="13831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utien@ccat.q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unication@ccat.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b09b0-b953-4e40-8d50-5dc9eef4ab94">
      <Terms xmlns="http://schemas.microsoft.com/office/infopath/2007/PartnerControls"/>
    </lcf76f155ced4ddcb4097134ff3c332f>
    <TaxCatchAll xmlns="79a47947-1298-4913-ac16-be61091ce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B18DC712AA64299415600FF65EFD1" ma:contentTypeVersion="14" ma:contentTypeDescription="Crée un document." ma:contentTypeScope="" ma:versionID="b46c785b856b6699ffb3a31e11ad47b4">
  <xsd:schema xmlns:xsd="http://www.w3.org/2001/XMLSchema" xmlns:xs="http://www.w3.org/2001/XMLSchema" xmlns:p="http://schemas.microsoft.com/office/2006/metadata/properties" xmlns:ns2="c21b09b0-b953-4e40-8d50-5dc9eef4ab94" xmlns:ns3="79a47947-1298-4913-ac16-be61091ce119" targetNamespace="http://schemas.microsoft.com/office/2006/metadata/properties" ma:root="true" ma:fieldsID="393c62147c766645c5bfefc794e22568" ns2:_="" ns3:_="">
    <xsd:import namespace="c21b09b0-b953-4e40-8d50-5dc9eef4ab94"/>
    <xsd:import namespace="79a47947-1298-4913-ac16-be61091ce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b09b0-b953-4e40-8d50-5dc9eef4a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182ba13-4484-4f98-8e6e-086d851117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47947-1298-4913-ac16-be61091ce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280a7-2b33-425a-bab8-0cce918ce93d}" ma:internalName="TaxCatchAll" ma:showField="CatchAllData" ma:web="79a47947-1298-4913-ac16-be61091ce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FE481-2325-44A2-A872-20D68C07EA27}">
  <ds:schemaRefs>
    <ds:schemaRef ds:uri="http://schemas.microsoft.com/office/2006/metadata/properties"/>
    <ds:schemaRef ds:uri="http://schemas.microsoft.com/office/infopath/2007/PartnerControls"/>
    <ds:schemaRef ds:uri="c21b09b0-b953-4e40-8d50-5dc9eef4ab94"/>
    <ds:schemaRef ds:uri="79a47947-1298-4913-ac16-be61091ce119"/>
  </ds:schemaRefs>
</ds:datastoreItem>
</file>

<file path=customXml/itemProps2.xml><?xml version="1.0" encoding="utf-8"?>
<ds:datastoreItem xmlns:ds="http://schemas.openxmlformats.org/officeDocument/2006/customXml" ds:itemID="{8D82DAFB-5760-4576-8B0F-AC5E760A71A0}">
  <ds:schemaRefs>
    <ds:schemaRef ds:uri="http://schemas.microsoft.com/sharepoint/v3/contenttype/forms"/>
  </ds:schemaRefs>
</ds:datastoreItem>
</file>

<file path=customXml/itemProps3.xml><?xml version="1.0" encoding="utf-8"?>
<ds:datastoreItem xmlns:ds="http://schemas.openxmlformats.org/officeDocument/2006/customXml" ds:itemID="{A51BF4D1-CC01-41BA-96A5-69A36C02E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b09b0-b953-4e40-8d50-5dc9eef4ab94"/>
    <ds:schemaRef ds:uri="79a47947-1298-4913-ac16-be61091ce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3783</Characters>
  <Application>Microsoft Office Word</Application>
  <DocSecurity>0</DocSecurity>
  <Lines>31</Lines>
  <Paragraphs>8</Paragraphs>
  <ScaleCrop>false</ScaleCrop>
  <Company>Calq</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dc:title>
  <dc:subject/>
  <dc:creator>Utilisateur</dc:creator>
  <cp:keywords/>
  <cp:lastModifiedBy>Marie-Hélène Lavoie</cp:lastModifiedBy>
  <cp:revision>5</cp:revision>
  <cp:lastPrinted>2025-11-20T23:49:00Z</cp:lastPrinted>
  <dcterms:created xsi:type="dcterms:W3CDTF">2025-12-01T20:07:00Z</dcterms:created>
  <dcterms:modified xsi:type="dcterms:W3CDTF">2025-12-02T02:16:00Z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2025-07-25T16:52:00Z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83efd414-7e81-48cd-bdbc-aca2d0f77eea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0x010100599B18DC712AA64299415600FF65EFD1</vt:lpwstr>
  </property>
  <property fmtid="{D5CDD505-2E9C-101B-9397-08002B2CF9AE}" pid="11" name="MediaServiceImageTags">
    <vt:lpwstr/>
  </property>
</Properties>
</file>