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24FD" w14:textId="77777777" w:rsidR="00A00C0C" w:rsidRPr="00017900" w:rsidRDefault="00A00C0C" w:rsidP="00A00C0C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11675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7.75pt" o:ole="">
            <v:imagedata r:id="rId7" o:title=""/>
          </v:shape>
          <o:OLEObject Type="Embed" ProgID="CorelDraw.Graphic.8" ShapeID="_x0000_i1025" DrawAspect="Content" ObjectID="_1566720440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42FAD4C1" w14:textId="77777777" w:rsidR="00A00C0C" w:rsidRPr="00C7058E" w:rsidRDefault="00A00C0C" w:rsidP="00A00C0C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2BC0CE99" w14:textId="77777777" w:rsidR="00A00C0C" w:rsidRPr="00184467" w:rsidRDefault="00A00C0C" w:rsidP="00A00C0C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14:paraId="1EC29F4C" w14:textId="77777777" w:rsidR="00A00C0C" w:rsidRPr="00184467" w:rsidRDefault="00A00C0C" w:rsidP="00A00C0C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14:paraId="2B65E6AD" w14:textId="628F96F1" w:rsidR="00A00C0C" w:rsidRPr="00184467" w:rsidRDefault="00A00C0C" w:rsidP="00A00C0C">
      <w:pPr>
        <w:jc w:val="center"/>
        <w:rPr>
          <w:rFonts w:ascii="Tahoma" w:hAnsi="Tahoma" w:cs="Tahoma"/>
          <w:b/>
          <w:bCs/>
          <w:i/>
          <w:iCs/>
          <w:lang w:val="en-CA"/>
        </w:rPr>
      </w:pPr>
    </w:p>
    <w:p w14:paraId="7F4F39EF" w14:textId="5FE16016" w:rsidR="00A00C0C" w:rsidRPr="00E32629" w:rsidRDefault="00BB60A7" w:rsidP="00A00C0C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i/>
          <w:iCs/>
        </w:rPr>
        <w:t xml:space="preserve">Retour sur </w:t>
      </w:r>
      <w:r w:rsidR="00A00C0C" w:rsidRPr="00E32629">
        <w:rPr>
          <w:rFonts w:ascii="Tahoma" w:hAnsi="Tahoma" w:cs="Tahoma"/>
          <w:b/>
          <w:bCs/>
          <w:i/>
          <w:iCs/>
        </w:rPr>
        <w:t>ESPACES</w:t>
      </w:r>
      <w:r w:rsidR="00A00C0C" w:rsidRPr="00E32629">
        <w:rPr>
          <w:rFonts w:ascii="Tahoma" w:hAnsi="Tahoma" w:cs="Tahoma"/>
          <w:b/>
          <w:bCs/>
        </w:rPr>
        <w:t xml:space="preserve">, </w:t>
      </w:r>
      <w:r w:rsidR="00A00C0C">
        <w:rPr>
          <w:rFonts w:ascii="Tahoma" w:hAnsi="Tahoma" w:cs="Tahoma"/>
          <w:b/>
          <w:bCs/>
        </w:rPr>
        <w:t>26</w:t>
      </w:r>
      <w:r w:rsidR="00A00C0C" w:rsidRPr="00E32629">
        <w:rPr>
          <w:rFonts w:ascii="Tahoma" w:hAnsi="Tahoma" w:cs="Tahoma"/>
          <w:b/>
          <w:bCs/>
          <w:vertAlign w:val="superscript"/>
        </w:rPr>
        <w:t>e</w:t>
      </w:r>
      <w:r w:rsidR="00A00C0C" w:rsidRPr="00E32629">
        <w:rPr>
          <w:rFonts w:ascii="Tahoma" w:hAnsi="Tahoma" w:cs="Tahoma"/>
          <w:b/>
          <w:bCs/>
        </w:rPr>
        <w:t xml:space="preserve"> édition</w:t>
      </w:r>
      <w:r w:rsidR="00A00C0C">
        <w:rPr>
          <w:rFonts w:ascii="Tahoma" w:hAnsi="Tahoma" w:cs="Tahoma"/>
          <w:b/>
          <w:bCs/>
        </w:rPr>
        <w:t xml:space="preserve"> : </w:t>
      </w:r>
      <w:r w:rsidR="00A00C0C" w:rsidRPr="00E32629">
        <w:rPr>
          <w:rFonts w:ascii="Tahoma" w:hAnsi="Tahoma" w:cs="Tahoma"/>
          <w:b/>
        </w:rPr>
        <w:t>Programme de location d’œuvres d’art</w:t>
      </w:r>
    </w:p>
    <w:p w14:paraId="0FAA3D1D" w14:textId="43E1FE94" w:rsidR="00BB60A7" w:rsidRDefault="00BB60A7" w:rsidP="00BB60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65920" behindDoc="0" locked="0" layoutInCell="1" allowOverlap="1" wp14:anchorId="326A27A6" wp14:editId="66E2BE9F">
            <wp:simplePos x="0" y="0"/>
            <wp:positionH relativeFrom="margin">
              <wp:posOffset>190500</wp:posOffset>
            </wp:positionH>
            <wp:positionV relativeFrom="paragraph">
              <wp:posOffset>125095</wp:posOffset>
            </wp:positionV>
            <wp:extent cx="2332800" cy="1076400"/>
            <wp:effectExtent l="0" t="0" r="0" b="0"/>
            <wp:wrapThrough wrapText="bothSides">
              <wp:wrapPolygon edited="0">
                <wp:start x="0" y="0"/>
                <wp:lineTo x="0" y="21027"/>
                <wp:lineTo x="21347" y="21027"/>
                <wp:lineTo x="2134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ces-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88D7" w14:textId="29FA7804" w:rsidR="00BB60A7" w:rsidRDefault="00BB60A7" w:rsidP="00BB60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Val-d’Or – 12 septembre 2017 -  Le Centre </w:t>
      </w:r>
      <w:r w:rsidRPr="002A45A8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'exposition de Val-d’Or est fier de présenter les </w:t>
      </w:r>
      <w:r w:rsidR="00677924">
        <w:rPr>
          <w:rFonts w:ascii="Tahoma" w:hAnsi="Tahoma" w:cs="Tahoma"/>
          <w:sz w:val="22"/>
          <w:szCs w:val="22"/>
        </w:rPr>
        <w:t>résultats 2017 relatif</w:t>
      </w:r>
      <w:r>
        <w:rPr>
          <w:rFonts w:ascii="Tahoma" w:hAnsi="Tahoma" w:cs="Tahoma"/>
          <w:sz w:val="22"/>
          <w:szCs w:val="22"/>
        </w:rPr>
        <w:t>s à son programme de location d’œuvres d’art dont le succès ne se dément pas depuis 26 ans.</w:t>
      </w:r>
    </w:p>
    <w:p w14:paraId="718043C5" w14:textId="35275A31" w:rsidR="00BB60A7" w:rsidRPr="002A45A8" w:rsidRDefault="00BB60A7" w:rsidP="00BB60A7">
      <w:pPr>
        <w:jc w:val="both"/>
        <w:rPr>
          <w:rFonts w:ascii="Tahoma" w:hAnsi="Tahoma" w:cs="Tahoma"/>
          <w:sz w:val="22"/>
          <w:szCs w:val="22"/>
        </w:rPr>
      </w:pPr>
    </w:p>
    <w:p w14:paraId="60B4C816" w14:textId="3927B277" w:rsidR="00BB60A7" w:rsidRDefault="00BB60A7" w:rsidP="00BB60A7">
      <w:pPr>
        <w:jc w:val="both"/>
        <w:rPr>
          <w:rFonts w:ascii="Tahoma" w:hAnsi="Tahoma" w:cs="Tahoma"/>
          <w:sz w:val="22"/>
          <w:szCs w:val="22"/>
        </w:rPr>
      </w:pPr>
      <w:r w:rsidRPr="00791221">
        <w:rPr>
          <w:rFonts w:ascii="Tahoma" w:hAnsi="Tahoma" w:cs="Tahoma"/>
          <w:sz w:val="22"/>
          <w:szCs w:val="22"/>
        </w:rPr>
        <w:t xml:space="preserve">Ce programme invite les membres corporatifs du Centre à louer des œuvres présentées </w:t>
      </w:r>
      <w:r>
        <w:rPr>
          <w:rFonts w:ascii="Tahoma" w:hAnsi="Tahoma" w:cs="Tahoma"/>
          <w:sz w:val="22"/>
          <w:szCs w:val="22"/>
        </w:rPr>
        <w:t>lors de l’</w:t>
      </w:r>
      <w:r w:rsidRPr="00791221">
        <w:rPr>
          <w:rFonts w:ascii="Tahoma" w:hAnsi="Tahoma" w:cs="Tahoma"/>
          <w:sz w:val="22"/>
          <w:szCs w:val="22"/>
        </w:rPr>
        <w:t>exposition</w:t>
      </w:r>
      <w:r>
        <w:rPr>
          <w:rFonts w:ascii="Tahoma" w:hAnsi="Tahoma" w:cs="Tahoma"/>
          <w:sz w:val="22"/>
          <w:szCs w:val="22"/>
        </w:rPr>
        <w:t xml:space="preserve"> ESPACES</w:t>
      </w:r>
      <w:r w:rsidRPr="00791221">
        <w:rPr>
          <w:rFonts w:ascii="Tahoma" w:hAnsi="Tahoma" w:cs="Tahoma"/>
          <w:sz w:val="22"/>
          <w:szCs w:val="22"/>
        </w:rPr>
        <w:t>. Celles-ci contribue</w:t>
      </w:r>
      <w:r>
        <w:rPr>
          <w:rFonts w:ascii="Tahoma" w:hAnsi="Tahoma" w:cs="Tahoma"/>
          <w:sz w:val="22"/>
          <w:szCs w:val="22"/>
        </w:rPr>
        <w:t>nt</w:t>
      </w:r>
      <w:r w:rsidRPr="00791221">
        <w:rPr>
          <w:rFonts w:ascii="Tahoma" w:hAnsi="Tahoma" w:cs="Tahoma"/>
          <w:sz w:val="22"/>
          <w:szCs w:val="22"/>
        </w:rPr>
        <w:t xml:space="preserve"> à agrémenter et à valoriser leur lieu de travail pour une durée approximative d’un an, période après laquelle ils auront l’opportunité de les acquérir. </w:t>
      </w:r>
      <w:r>
        <w:rPr>
          <w:rFonts w:ascii="Tahoma" w:hAnsi="Tahoma" w:cs="Tahoma"/>
          <w:sz w:val="22"/>
          <w:szCs w:val="22"/>
        </w:rPr>
        <w:t>Cette</w:t>
      </w:r>
      <w:r w:rsidRPr="00791221">
        <w:rPr>
          <w:rFonts w:ascii="Tahoma" w:hAnsi="Tahoma" w:cs="Tahoma"/>
          <w:sz w:val="22"/>
          <w:szCs w:val="22"/>
        </w:rPr>
        <w:t xml:space="preserve"> initiative originale du Centre d’exposition de Val-d’Or visant à créer des liens entre le milieu des arts visuels et celui des aff</w:t>
      </w:r>
      <w:r>
        <w:rPr>
          <w:rFonts w:ascii="Tahoma" w:hAnsi="Tahoma" w:cs="Tahoma"/>
          <w:sz w:val="22"/>
          <w:szCs w:val="22"/>
        </w:rPr>
        <w:t xml:space="preserve">aires, </w:t>
      </w:r>
      <w:r w:rsidRPr="00791221">
        <w:rPr>
          <w:rFonts w:ascii="Tahoma" w:hAnsi="Tahoma" w:cs="Tahoma"/>
          <w:sz w:val="22"/>
          <w:szCs w:val="22"/>
        </w:rPr>
        <w:t>constitue un outil exceptionnel pour la reconnaissance des artistes de la région et la diffusion des œuvres d’</w:t>
      </w:r>
      <w:r w:rsidR="0054404C">
        <w:rPr>
          <w:rFonts w:ascii="Tahoma" w:hAnsi="Tahoma" w:cs="Tahoma"/>
          <w:sz w:val="22"/>
          <w:szCs w:val="22"/>
        </w:rPr>
        <w:t>art, et ce, depuis maintenant 26</w:t>
      </w:r>
      <w:r w:rsidRPr="00791221">
        <w:rPr>
          <w:rFonts w:ascii="Tahoma" w:hAnsi="Tahoma" w:cs="Tahoma"/>
          <w:sz w:val="22"/>
          <w:szCs w:val="22"/>
        </w:rPr>
        <w:t xml:space="preserve"> ans</w:t>
      </w:r>
      <w:r>
        <w:rPr>
          <w:rFonts w:ascii="Tahoma" w:hAnsi="Tahoma" w:cs="Tahoma"/>
          <w:sz w:val="22"/>
          <w:szCs w:val="22"/>
        </w:rPr>
        <w:t>.</w:t>
      </w:r>
    </w:p>
    <w:p w14:paraId="126CE703" w14:textId="77777777" w:rsidR="00BB60A7" w:rsidRDefault="00BB60A7" w:rsidP="00BB60A7">
      <w:pPr>
        <w:jc w:val="both"/>
        <w:rPr>
          <w:rFonts w:ascii="Tahoma" w:hAnsi="Tahoma" w:cs="Tahoma"/>
          <w:sz w:val="22"/>
          <w:szCs w:val="22"/>
        </w:rPr>
      </w:pPr>
    </w:p>
    <w:p w14:paraId="29D3ECF7" w14:textId="6258056A" w:rsidR="00BB60A7" w:rsidRDefault="0054404C" w:rsidP="00BB60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L’édition 2016</w:t>
      </w:r>
      <w:r w:rsidR="00BB60A7">
        <w:rPr>
          <w:rFonts w:ascii="Tahoma" w:hAnsi="Tahoma" w:cs="Tahoma"/>
          <w:sz w:val="22"/>
          <w:szCs w:val="22"/>
        </w:rPr>
        <w:t xml:space="preserve"> du programme s’est conclue avec </w:t>
      </w:r>
      <w:r>
        <w:rPr>
          <w:rFonts w:ascii="Tahoma" w:hAnsi="Tahoma" w:cs="Tahoma"/>
          <w:sz w:val="22"/>
          <w:szCs w:val="22"/>
        </w:rPr>
        <w:t>44</w:t>
      </w:r>
      <w:r w:rsidR="00BB60A7">
        <w:rPr>
          <w:rFonts w:ascii="Tahoma" w:hAnsi="Tahoma" w:cs="Tahoma"/>
          <w:sz w:val="22"/>
          <w:szCs w:val="22"/>
        </w:rPr>
        <w:t xml:space="preserve"> œuvres louées</w:t>
      </w:r>
      <w:r w:rsidR="00B06C05">
        <w:rPr>
          <w:rFonts w:ascii="Tahoma" w:hAnsi="Tahoma" w:cs="Tahoma"/>
          <w:sz w:val="22"/>
          <w:szCs w:val="22"/>
        </w:rPr>
        <w:t xml:space="preserve"> sur 87</w:t>
      </w:r>
      <w:bookmarkStart w:id="0" w:name="_GoBack"/>
      <w:bookmarkEnd w:id="0"/>
      <w:r w:rsidR="00BB60A7">
        <w:rPr>
          <w:rFonts w:ascii="Tahoma" w:hAnsi="Tahoma" w:cs="Tahoma"/>
          <w:sz w:val="22"/>
          <w:szCs w:val="22"/>
        </w:rPr>
        <w:t xml:space="preserve"> et </w:t>
      </w:r>
      <w:r>
        <w:rPr>
          <w:rFonts w:ascii="Tahoma" w:hAnsi="Tahoma" w:cs="Tahoma"/>
          <w:sz w:val="22"/>
          <w:szCs w:val="22"/>
        </w:rPr>
        <w:t>7</w:t>
      </w:r>
      <w:r w:rsidR="00BB60A7">
        <w:rPr>
          <w:rFonts w:ascii="Tahoma" w:hAnsi="Tahoma" w:cs="Tahoma"/>
          <w:sz w:val="22"/>
          <w:szCs w:val="22"/>
        </w:rPr>
        <w:t xml:space="preserve"> œuvres </w:t>
      </w:r>
      <w:r>
        <w:rPr>
          <w:rFonts w:ascii="Tahoma" w:hAnsi="Tahoma" w:cs="Tahoma"/>
          <w:sz w:val="22"/>
          <w:szCs w:val="22"/>
        </w:rPr>
        <w:t>vendues. Pour cette édition 2017</w:t>
      </w:r>
      <w:r w:rsidR="00BB60A7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27 artistes se sont inscrits et 15</w:t>
      </w:r>
      <w:r w:rsidR="00BB60A7">
        <w:rPr>
          <w:rFonts w:ascii="Tahoma" w:hAnsi="Tahoma" w:cs="Tahoma"/>
          <w:sz w:val="22"/>
          <w:szCs w:val="22"/>
        </w:rPr>
        <w:t xml:space="preserve"> entreprises ont</w:t>
      </w:r>
      <w:r>
        <w:rPr>
          <w:rFonts w:ascii="Tahoma" w:hAnsi="Tahoma" w:cs="Tahoma"/>
          <w:sz w:val="22"/>
          <w:szCs w:val="22"/>
        </w:rPr>
        <w:t xml:space="preserve"> eu</w:t>
      </w:r>
      <w:r w:rsidR="00BB60A7">
        <w:rPr>
          <w:rFonts w:ascii="Tahoma" w:hAnsi="Tahoma" w:cs="Tahoma"/>
          <w:sz w:val="22"/>
          <w:szCs w:val="22"/>
        </w:rPr>
        <w:t xml:space="preserve"> le privilège de choisir parmi un corpus de </w:t>
      </w:r>
      <w:r w:rsidR="00EE292D">
        <w:rPr>
          <w:rFonts w:ascii="Tahoma" w:hAnsi="Tahoma" w:cs="Tahoma"/>
          <w:sz w:val="22"/>
          <w:szCs w:val="22"/>
        </w:rPr>
        <w:t>64</w:t>
      </w:r>
      <w:r w:rsidR="00BB60A7">
        <w:rPr>
          <w:rFonts w:ascii="Tahoma" w:hAnsi="Tahoma" w:cs="Tahoma"/>
          <w:sz w:val="22"/>
          <w:szCs w:val="22"/>
        </w:rPr>
        <w:t xml:space="preserve"> œuvres, celles qui orneront leurs espaces durant près d’un an. Lors de la soirée du </w:t>
      </w:r>
      <w:r>
        <w:rPr>
          <w:rFonts w:ascii="Tahoma" w:hAnsi="Tahoma" w:cs="Tahoma"/>
          <w:sz w:val="22"/>
          <w:szCs w:val="22"/>
        </w:rPr>
        <w:t>7</w:t>
      </w:r>
      <w:r w:rsidR="00BB60A7">
        <w:rPr>
          <w:rFonts w:ascii="Tahoma" w:hAnsi="Tahoma" w:cs="Tahoma"/>
          <w:sz w:val="22"/>
          <w:szCs w:val="22"/>
        </w:rPr>
        <w:t xml:space="preserve"> septembre, </w:t>
      </w:r>
      <w:r w:rsidR="003337AF">
        <w:rPr>
          <w:rFonts w:ascii="Tahoma" w:hAnsi="Tahoma" w:cs="Tahoma"/>
          <w:sz w:val="22"/>
          <w:szCs w:val="22"/>
        </w:rPr>
        <w:t>33</w:t>
      </w:r>
      <w:r>
        <w:rPr>
          <w:rFonts w:ascii="Tahoma" w:hAnsi="Tahoma" w:cs="Tahoma"/>
          <w:sz w:val="22"/>
          <w:szCs w:val="22"/>
        </w:rPr>
        <w:t xml:space="preserve"> œuvres ont été louées par les 15</w:t>
      </w:r>
      <w:r w:rsidR="00BB60A7">
        <w:rPr>
          <w:rFonts w:ascii="Tahoma" w:hAnsi="Tahoma" w:cs="Tahoma"/>
          <w:sz w:val="22"/>
          <w:szCs w:val="22"/>
        </w:rPr>
        <w:t xml:space="preserve"> entreprises présentes. Les entreprises qui ne pouvaient être sur place auront encore quelques jours pour venir faire leurs choix.</w:t>
      </w:r>
    </w:p>
    <w:p w14:paraId="42369872" w14:textId="77777777" w:rsidR="00BB60A7" w:rsidRDefault="00BB60A7" w:rsidP="00BB60A7">
      <w:pPr>
        <w:jc w:val="both"/>
        <w:rPr>
          <w:rFonts w:ascii="Tahoma" w:hAnsi="Tahoma" w:cs="Tahoma"/>
          <w:sz w:val="22"/>
          <w:szCs w:val="22"/>
        </w:rPr>
      </w:pPr>
    </w:p>
    <w:p w14:paraId="438329A7" w14:textId="41D73576" w:rsidR="00BB60A7" w:rsidRPr="004D2923" w:rsidRDefault="00BB60A7" w:rsidP="00BB60A7">
      <w:pPr>
        <w:jc w:val="both"/>
        <w:rPr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Les entrepris</w:t>
      </w:r>
      <w:r w:rsidR="0054404C">
        <w:rPr>
          <w:rFonts w:ascii="Tahoma" w:hAnsi="Tahoma" w:cs="Tahoma"/>
          <w:sz w:val="22"/>
          <w:szCs w:val="22"/>
        </w:rPr>
        <w:t>es participantes pour cette 26</w:t>
      </w:r>
      <w:r w:rsidRPr="004D2923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édition sont :</w:t>
      </w:r>
      <w:r w:rsidR="00D44F41">
        <w:rPr>
          <w:sz w:val="22"/>
          <w:szCs w:val="22"/>
          <w:lang w:eastAsia="en-US"/>
        </w:rPr>
        <w:t xml:space="preserve"> </w:t>
      </w:r>
      <w:r w:rsidRPr="004D2923">
        <w:rPr>
          <w:rFonts w:ascii="Tahoma" w:hAnsi="Tahoma" w:cs="Tahoma"/>
          <w:sz w:val="22"/>
          <w:szCs w:val="22"/>
        </w:rPr>
        <w:t>ASDR Solutions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Claudine Lévesque C.P.A.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Clinique de Physiothérapie de Val-d'Or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Daniel Richard, Conseiller en placement I.A.V.M.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Dépanneur Beauséjour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Fournier et Fils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Garage Poirier et Fils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Integra Gold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Poirier Hyundai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Raymond Chabot Grant Thorton Administration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>Serge Caron, Groupe Financier Massé</w:t>
      </w:r>
      <w:r>
        <w:rPr>
          <w:sz w:val="22"/>
          <w:szCs w:val="22"/>
          <w:lang w:eastAsia="en-US"/>
        </w:rPr>
        <w:t xml:space="preserve">, </w:t>
      </w:r>
      <w:r w:rsidR="00D44F41" w:rsidRPr="00D44F41">
        <w:rPr>
          <w:rFonts w:ascii="Tahoma" w:hAnsi="Tahoma" w:cs="Tahoma"/>
          <w:sz w:val="22"/>
          <w:szCs w:val="22"/>
        </w:rPr>
        <w:t>Soudure Royal Concept,</w:t>
      </w:r>
      <w:r w:rsidR="00D44F41">
        <w:rPr>
          <w:sz w:val="22"/>
          <w:szCs w:val="22"/>
          <w:lang w:eastAsia="en-US"/>
        </w:rPr>
        <w:t xml:space="preserve"> </w:t>
      </w:r>
      <w:r w:rsidRPr="004D2923">
        <w:rPr>
          <w:rFonts w:ascii="Tahoma" w:hAnsi="Tahoma" w:cs="Tahoma"/>
          <w:sz w:val="22"/>
          <w:szCs w:val="22"/>
        </w:rPr>
        <w:t>Télé-Québec</w:t>
      </w:r>
      <w:r>
        <w:rPr>
          <w:sz w:val="22"/>
          <w:szCs w:val="22"/>
          <w:lang w:eastAsia="en-US"/>
        </w:rPr>
        <w:t xml:space="preserve">, </w:t>
      </w:r>
      <w:r w:rsidRPr="004D2923">
        <w:rPr>
          <w:rFonts w:ascii="Tahoma" w:hAnsi="Tahoma" w:cs="Tahoma"/>
          <w:sz w:val="22"/>
          <w:szCs w:val="22"/>
        </w:rPr>
        <w:t xml:space="preserve">Ville de Val-d'Or </w:t>
      </w:r>
      <w:r>
        <w:rPr>
          <w:rFonts w:ascii="Tahoma" w:hAnsi="Tahoma" w:cs="Tahoma"/>
          <w:sz w:val="22"/>
          <w:szCs w:val="22"/>
        </w:rPr>
        <w:t>(</w:t>
      </w:r>
      <w:r w:rsidRPr="004D2923">
        <w:rPr>
          <w:rFonts w:ascii="Tahoma" w:hAnsi="Tahoma" w:cs="Tahoma"/>
          <w:sz w:val="22"/>
          <w:szCs w:val="22"/>
        </w:rPr>
        <w:t>Service culturel</w:t>
      </w:r>
      <w:r>
        <w:rPr>
          <w:rFonts w:ascii="Tahoma" w:hAnsi="Tahoma" w:cs="Tahoma"/>
          <w:sz w:val="22"/>
          <w:szCs w:val="22"/>
        </w:rPr>
        <w:t>)</w:t>
      </w:r>
      <w:r w:rsidRPr="004D2923">
        <w:rPr>
          <w:rFonts w:ascii="Tahoma" w:hAnsi="Tahoma" w:cs="Tahoma"/>
          <w:sz w:val="22"/>
          <w:szCs w:val="22"/>
        </w:rPr>
        <w:t xml:space="preserve"> et l’ UQAT</w:t>
      </w:r>
      <w:r>
        <w:rPr>
          <w:rFonts w:ascii="Tahoma" w:hAnsi="Tahoma" w:cs="Tahoma"/>
          <w:sz w:val="22"/>
          <w:szCs w:val="22"/>
        </w:rPr>
        <w:t>.</w:t>
      </w:r>
    </w:p>
    <w:p w14:paraId="19E1B626" w14:textId="77777777" w:rsidR="00BB60A7" w:rsidRDefault="00BB60A7" w:rsidP="00BB60A7">
      <w:pPr>
        <w:jc w:val="both"/>
        <w:rPr>
          <w:rFonts w:ascii="Tahoma" w:hAnsi="Tahoma" w:cs="Tahoma"/>
          <w:sz w:val="22"/>
          <w:szCs w:val="22"/>
        </w:rPr>
      </w:pPr>
    </w:p>
    <w:p w14:paraId="793046FF" w14:textId="77777777" w:rsidR="00A00C0C" w:rsidRDefault="00A00C0C" w:rsidP="00A00C0C">
      <w:pPr>
        <w:pStyle w:val="Titre1"/>
        <w:jc w:val="center"/>
        <w:rPr>
          <w:rFonts w:asciiTheme="minorHAnsi" w:hAnsiTheme="minorHAnsi" w:cs="Tahoma"/>
          <w:sz w:val="28"/>
          <w:szCs w:val="28"/>
        </w:rPr>
      </w:pPr>
    </w:p>
    <w:p w14:paraId="4C2098DA" w14:textId="77777777" w:rsidR="00A00C0C" w:rsidRDefault="00A00C0C" w:rsidP="00A00C0C"/>
    <w:p w14:paraId="1994B28C" w14:textId="77777777" w:rsidR="00A00C0C" w:rsidRDefault="00A00C0C" w:rsidP="00A00C0C"/>
    <w:p w14:paraId="387E5A42" w14:textId="77777777" w:rsidR="00A00C0C" w:rsidRDefault="00A00C0C" w:rsidP="00A00C0C"/>
    <w:p w14:paraId="62596553" w14:textId="77777777" w:rsidR="00A00C0C" w:rsidRPr="00A00C0C" w:rsidRDefault="00A00C0C" w:rsidP="00A00C0C"/>
    <w:p w14:paraId="1A9108B5" w14:textId="77777777" w:rsidR="00A00C0C" w:rsidRDefault="00A00C0C" w:rsidP="00A00C0C">
      <w:pPr>
        <w:pStyle w:val="Corpsdetexte2"/>
        <w:rPr>
          <w:rFonts w:asciiTheme="minorHAnsi" w:hAnsiTheme="minorHAnsi" w:cs="Arial"/>
          <w:sz w:val="18"/>
          <w:szCs w:val="18"/>
        </w:rPr>
      </w:pPr>
      <w:r w:rsidRPr="0068606A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16h.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2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4907BC47" w14:textId="77777777" w:rsidR="00A00C0C" w:rsidRPr="00F64C67" w:rsidRDefault="00A00C0C" w:rsidP="00A00C0C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48CED64B" w14:textId="77777777" w:rsidR="00A00C0C" w:rsidRPr="00F64C67" w:rsidRDefault="00A00C0C" w:rsidP="00A00C0C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41FFE7AB" w14:textId="4B46D6D6" w:rsidR="00B2088D" w:rsidRDefault="00A00C0C" w:rsidP="00A00C0C">
      <w:pPr>
        <w:pStyle w:val="Corpsdetexte2"/>
        <w:jc w:val="center"/>
      </w:pP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0B0B9461" wp14:editId="56480270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F17A42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C"/>
    <w:rsid w:val="00097EBD"/>
    <w:rsid w:val="001762E3"/>
    <w:rsid w:val="00184467"/>
    <w:rsid w:val="00187426"/>
    <w:rsid w:val="003337AF"/>
    <w:rsid w:val="003D31FB"/>
    <w:rsid w:val="004E38E2"/>
    <w:rsid w:val="00532669"/>
    <w:rsid w:val="0054404C"/>
    <w:rsid w:val="00653B4D"/>
    <w:rsid w:val="00677924"/>
    <w:rsid w:val="0068470F"/>
    <w:rsid w:val="00802C64"/>
    <w:rsid w:val="00860DA4"/>
    <w:rsid w:val="00880841"/>
    <w:rsid w:val="008E21BF"/>
    <w:rsid w:val="008F54DD"/>
    <w:rsid w:val="00A00C0C"/>
    <w:rsid w:val="00A82856"/>
    <w:rsid w:val="00AF4458"/>
    <w:rsid w:val="00B06C05"/>
    <w:rsid w:val="00B2088D"/>
    <w:rsid w:val="00B471AF"/>
    <w:rsid w:val="00BA5FB4"/>
    <w:rsid w:val="00BB60A7"/>
    <w:rsid w:val="00C85AD9"/>
    <w:rsid w:val="00CD51E4"/>
    <w:rsid w:val="00D073DA"/>
    <w:rsid w:val="00D44F41"/>
    <w:rsid w:val="00D53D46"/>
    <w:rsid w:val="00D83690"/>
    <w:rsid w:val="00DC23E0"/>
    <w:rsid w:val="00EE292D"/>
    <w:rsid w:val="00F228C9"/>
    <w:rsid w:val="00F26A74"/>
    <w:rsid w:val="00F9030E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00DAB"/>
  <w15:chartTrackingRefBased/>
  <w15:docId w15:val="{C6570BCF-CA81-43B0-A5AD-2F5E8547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0C0C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0C0C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00C0C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A00C0C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A00C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C0C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https://www.facebook.com/centredexpositiondevald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vd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xpovd@ville.valdor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E1117-42BD-4176-A95D-FA9240F5D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377B2-2FF7-4444-87C9-BE013F318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9174F-B13C-45DD-B586-E62584C9EB8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7</cp:revision>
  <dcterms:created xsi:type="dcterms:W3CDTF">2017-09-05T13:49:00Z</dcterms:created>
  <dcterms:modified xsi:type="dcterms:W3CDTF">2017-09-12T15:21:00Z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