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1F7A" w14:textId="521063E5" w:rsidR="007D6F99" w:rsidRPr="00353BED" w:rsidRDefault="007D6F99" w:rsidP="007D6F99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  <w:t xml:space="preserve">QU’EST-CE QU’UNE </w:t>
      </w:r>
      <w:r w:rsidRPr="00353BED"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  <w:t>ESCOUADE</w:t>
      </w:r>
      <w:r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  <w:t>?</w:t>
      </w:r>
    </w:p>
    <w:p w14:paraId="728884ED" w14:textId="77777777" w:rsidR="007D6F99" w:rsidRDefault="007D6F99" w:rsidP="007D6F99">
      <w:pPr>
        <w:spacing w:before="100" w:after="100" w:line="252" w:lineRule="auto"/>
        <w:ind w:right="-274"/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</w:pP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Cette approche d’apprentissage se vit en petit groupe d’un maximum de 3 experts-consultants qui mettront leurs</w:t>
      </w:r>
      <w:r w:rsidRPr="00CA4DA7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compétences et leurs profils</w:t>
      </w:r>
      <w:r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au</w:t>
      </w: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profit </w:t>
      </w:r>
      <w:r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du</w:t>
      </w:r>
      <w:r w:rsidRPr="00CA4DA7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défi soumi</w:t>
      </w:r>
      <w:r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s.</w:t>
      </w: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</w:t>
      </w:r>
    </w:p>
    <w:p w14:paraId="7A6070BB" w14:textId="5722081B" w:rsidR="007D6F99" w:rsidRPr="00997A1A" w:rsidRDefault="007D6F99" w:rsidP="00A31718">
      <w:pPr>
        <w:spacing w:before="100" w:after="100" w:line="252" w:lineRule="auto"/>
        <w:ind w:right="-8"/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</w:pP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L’escouade s’organise autour d’une méthode de </w:t>
      </w:r>
      <w:r w:rsidR="00271619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consultation structurée en 7 </w:t>
      </w: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étapes. Cet appel de formation spécifique doit cerner et exposer une problématique claire ou un enjeu professionnel propre au demandeur. </w:t>
      </w:r>
    </w:p>
    <w:p w14:paraId="784678AC" w14:textId="27259CB7" w:rsidR="00681961" w:rsidRPr="006446F5" w:rsidRDefault="007D6F99" w:rsidP="007D6F99">
      <w:pPr>
        <w:spacing w:before="100" w:after="100" w:line="252" w:lineRule="auto"/>
        <w:ind w:right="-274"/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997A1A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L’escouade culturelle peut se dérouler sur un maximum de 14 heures.</w:t>
      </w:r>
    </w:p>
    <w:p w14:paraId="321B3E72" w14:textId="77777777" w:rsidR="007D6F99" w:rsidRDefault="007D6F99" w:rsidP="00AD67FC">
      <w:pP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</w:p>
    <w:p w14:paraId="7CE2FACA" w14:textId="363F3684" w:rsidR="007D6F99" w:rsidRDefault="007D6F99" w:rsidP="00AD67FC">
      <w:pPr>
        <w:spacing w:after="100" w:line="252" w:lineRule="auto"/>
        <w:rPr>
          <w:rFonts w:ascii="Century Gothic" w:hAnsi="Century Gothic" w:cstheme="minorHAnsi"/>
          <w:color w:val="BD4931"/>
          <w:spacing w:val="14"/>
        </w:rPr>
        <w:sectPr w:rsidR="007D6F99" w:rsidSect="007D6F99">
          <w:headerReference w:type="default" r:id="rId10"/>
          <w:footerReference w:type="default" r:id="rId11"/>
          <w:pgSz w:w="12240" w:h="15840" w:code="1"/>
          <w:pgMar w:top="1440" w:right="994" w:bottom="1152" w:left="994" w:header="706" w:footer="706" w:gutter="0"/>
          <w:cols w:space="709"/>
          <w:docGrid w:linePitch="360"/>
        </w:sectPr>
      </w:pPr>
    </w:p>
    <w:p w14:paraId="7B415070" w14:textId="60F9758F" w:rsidR="005A03B9" w:rsidRPr="00812C2B" w:rsidRDefault="00812C2B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CLIENTÈLES ADMISSIBLES</w:t>
      </w:r>
    </w:p>
    <w:p w14:paraId="411AEAA7" w14:textId="7927AE1E" w:rsidR="005A03B9" w:rsidRPr="000D0B0A" w:rsidRDefault="5206D85C" w:rsidP="00812C2B">
      <w:pPr>
        <w:numPr>
          <w:ilvl w:val="0"/>
          <w:numId w:val="1"/>
        </w:numPr>
        <w:spacing w:before="100" w:after="100" w:line="252" w:lineRule="auto"/>
        <w:ind w:left="28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Les artistes, artisan</w:t>
      </w:r>
      <w:r w:rsidR="00BA76EF"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.</w:t>
      </w: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es et écrivain</w:t>
      </w:r>
      <w:r w:rsidR="00BA76EF"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.</w:t>
      </w: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 xml:space="preserve">es </w:t>
      </w:r>
      <w:proofErr w:type="spellStart"/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professionnel</w:t>
      </w:r>
      <w:r w:rsidR="00BA76EF"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.</w:t>
      </w: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les</w:t>
      </w:r>
      <w:proofErr w:type="spellEnd"/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 xml:space="preserve"> </w:t>
      </w:r>
      <w:r w:rsidR="0070267C"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ou en voie de professionnalisation.</w:t>
      </w:r>
    </w:p>
    <w:p w14:paraId="2A214998" w14:textId="5AC54BCF" w:rsidR="00C74EF5" w:rsidRPr="000D0B0A" w:rsidRDefault="5206D85C" w:rsidP="00812C2B">
      <w:pPr>
        <w:numPr>
          <w:ilvl w:val="0"/>
          <w:numId w:val="1"/>
        </w:numPr>
        <w:spacing w:before="100" w:after="100" w:line="252" w:lineRule="auto"/>
        <w:ind w:left="284" w:right="57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Les travailleurs culturels non assujettis à la</w:t>
      </w:r>
      <w:r w:rsidR="00BA76EF"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 xml:space="preserve"> </w:t>
      </w: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Loi 90</w:t>
      </w:r>
    </w:p>
    <w:p w14:paraId="23F4C1A2" w14:textId="77777777" w:rsidR="00C74EF5" w:rsidRPr="006446F5" w:rsidRDefault="00C74EF5" w:rsidP="00812C2B">
      <w:pPr>
        <w:spacing w:before="100" w:after="100" w:line="252" w:lineRule="auto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</w:p>
    <w:p w14:paraId="5062238F" w14:textId="5A3762BF" w:rsidR="005A03B9" w:rsidRPr="00812C2B" w:rsidRDefault="00812C2B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  <w:sz w:val="24"/>
          <w:szCs w:val="24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OBJECTIFS</w:t>
      </w:r>
    </w:p>
    <w:p w14:paraId="57F9A7A7" w14:textId="77777777" w:rsidR="004D2A72" w:rsidRPr="000D0B0A" w:rsidRDefault="004D2A72" w:rsidP="000D0B0A">
      <w:pPr>
        <w:numPr>
          <w:ilvl w:val="0"/>
          <w:numId w:val="1"/>
        </w:numPr>
        <w:spacing w:before="100" w:after="100" w:line="252" w:lineRule="auto"/>
        <w:ind w:left="284" w:right="-267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Se développer professionnellement en échangeant avec des collègues du même secteur d’activité et des professionnels du milieu</w:t>
      </w:r>
    </w:p>
    <w:p w14:paraId="1FA186B7" w14:textId="77777777" w:rsidR="004D2A72" w:rsidRPr="000D0B0A" w:rsidRDefault="004D2A72" w:rsidP="004D2A72">
      <w:pPr>
        <w:numPr>
          <w:ilvl w:val="0"/>
          <w:numId w:val="1"/>
        </w:numPr>
        <w:spacing w:before="100" w:after="100" w:line="252" w:lineRule="auto"/>
        <w:ind w:left="28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Développer et consolider, dans l’action, les capacités professionnelles</w:t>
      </w:r>
    </w:p>
    <w:p w14:paraId="12B9D42E" w14:textId="77777777" w:rsidR="004D2A72" w:rsidRPr="000D0B0A" w:rsidRDefault="004D2A72" w:rsidP="004D2A72">
      <w:pPr>
        <w:numPr>
          <w:ilvl w:val="0"/>
          <w:numId w:val="1"/>
        </w:numPr>
        <w:spacing w:before="100" w:after="100" w:line="252" w:lineRule="auto"/>
        <w:ind w:left="28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Bénéficier de l’entraide professionnelle et du transfert d’expertise</w:t>
      </w:r>
    </w:p>
    <w:p w14:paraId="7E0D96F0" w14:textId="51E0E255" w:rsidR="004D2A72" w:rsidRPr="000D0B0A" w:rsidRDefault="004D2A72" w:rsidP="004D2A72">
      <w:pPr>
        <w:numPr>
          <w:ilvl w:val="0"/>
          <w:numId w:val="1"/>
        </w:numPr>
        <w:spacing w:before="100" w:after="100" w:line="252" w:lineRule="auto"/>
        <w:ind w:left="28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 xml:space="preserve">Développer </w:t>
      </w:r>
      <w:r w:rsidR="00271619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une meilleure connaissance de ses forces et de se</w:t>
      </w:r>
      <w:r w:rsidRPr="000D0B0A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s limites </w:t>
      </w:r>
    </w:p>
    <w:p w14:paraId="2E8981C0" w14:textId="77777777" w:rsidR="00610307" w:rsidRPr="00610307" w:rsidRDefault="004D2A72" w:rsidP="00610307">
      <w:pPr>
        <w:numPr>
          <w:ilvl w:val="0"/>
          <w:numId w:val="1"/>
        </w:numPr>
        <w:spacing w:before="100" w:after="100" w:line="252" w:lineRule="auto"/>
        <w:ind w:left="284" w:hanging="284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  <w:r w:rsidRPr="00610307"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  <w:t>S’engager dans le processus d’apprentissage en 7 étapes</w:t>
      </w:r>
    </w:p>
    <w:p w14:paraId="34D2C7DB" w14:textId="5CFB44C1" w:rsidR="00F77FE3" w:rsidRPr="007D6F99" w:rsidRDefault="007D6F99" w:rsidP="00610307">
      <w:pPr>
        <w:pBdr>
          <w:bottom w:val="single" w:sz="2" w:space="1" w:color="404040" w:themeColor="text1" w:themeTint="BF"/>
        </w:pBdr>
        <w:spacing w:before="100"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7D6F99">
        <w:rPr>
          <w:rFonts w:ascii="Century Gothic" w:hAnsi="Century Gothic" w:cstheme="minorHAnsi"/>
          <w:color w:val="BD4931"/>
          <w:spacing w:val="14"/>
        </w:rPr>
        <w:br w:type="column"/>
      </w:r>
      <w:r w:rsidR="00F77FE3" w:rsidRPr="007D6F99">
        <w:rPr>
          <w:rFonts w:ascii="Century Gothic" w:hAnsi="Century Gothic" w:cstheme="minorHAnsi"/>
          <w:color w:val="BD4931"/>
          <w:spacing w:val="14"/>
        </w:rPr>
        <w:t>DOCUMENTS À REMETTRE</w:t>
      </w:r>
    </w:p>
    <w:p w14:paraId="1549F8A6" w14:textId="55D6285B" w:rsidR="00F77FE3" w:rsidRPr="00653249" w:rsidRDefault="00F77FE3" w:rsidP="00F77FE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5324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Le </w:t>
      </w:r>
      <w:r w:rsidR="00A55A9F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formulaire </w:t>
      </w:r>
    </w:p>
    <w:p w14:paraId="51D4B4D9" w14:textId="2506D566" w:rsidR="00F77FE3" w:rsidRPr="00653249" w:rsidRDefault="00F77FE3" w:rsidP="00F77FE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5324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 curriculum vitae des experts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-consultants ou un résumé de leurs</w:t>
      </w:r>
      <w:r w:rsidRPr="0065324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expériences pertinentes à l’activité demandée</w:t>
      </w:r>
      <w:bookmarkStart w:id="0" w:name="_GoBack"/>
      <w:bookmarkEnd w:id="0"/>
    </w:p>
    <w:p w14:paraId="55E39BB4" w14:textId="1DF78AAA" w:rsidR="007D6F99" w:rsidRDefault="007D6F99" w:rsidP="007D6F99">
      <w:pPr>
        <w:spacing w:before="100" w:after="100" w:line="252" w:lineRule="auto"/>
        <w:ind w:right="-135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</w:p>
    <w:p w14:paraId="74C572C9" w14:textId="77777777" w:rsidR="007D6F99" w:rsidRPr="00812C2B" w:rsidRDefault="007D6F99" w:rsidP="007D6F99">
      <w:pPr>
        <w:pBdr>
          <w:bottom w:val="single" w:sz="2" w:space="1" w:color="404040" w:themeColor="text1" w:themeTint="BF"/>
        </w:pBdr>
        <w:shd w:val="clear" w:color="auto" w:fill="F2F2F2" w:themeFill="background1" w:themeFillShade="F2"/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PERSONNE CONTACT</w:t>
      </w:r>
    </w:p>
    <w:p w14:paraId="55D186C0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spacing w:before="0" w:beforeAutospacing="0" w:after="0" w:afterAutospacing="0" w:line="252" w:lineRule="auto"/>
        <w:rPr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Marie-Aimée Fortin-Picard</w:t>
      </w:r>
    </w:p>
    <w:p w14:paraId="622B45CB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spacing w:before="0" w:beforeAutospacing="0" w:after="240" w:afterAutospacing="0" w:line="252" w:lineRule="auto"/>
        <w:rPr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Agente de développement</w:t>
      </w:r>
    </w:p>
    <w:p w14:paraId="312178FA" w14:textId="77777777" w:rsidR="007D6F99" w:rsidRPr="00812C2B" w:rsidRDefault="007D6F99" w:rsidP="007D6F99">
      <w:pPr>
        <w:pStyle w:val="04xlpa"/>
        <w:shd w:val="clear" w:color="auto" w:fill="F2F2F2" w:themeFill="background1" w:themeFillShade="F2"/>
        <w:spacing w:before="0" w:beforeAutospacing="0" w:after="0" w:afterAutospacing="0" w:line="252" w:lineRule="auto"/>
        <w:rPr>
          <w:rStyle w:val="jsgrdq"/>
          <w:rFonts w:ascii="Century Gothic" w:hAnsi="Century Gothic" w:cstheme="minorHAnsi"/>
          <w:b/>
          <w:bCs/>
          <w:color w:val="262626" w:themeColor="text1" w:themeTint="D9"/>
          <w:spacing w:val="14"/>
          <w:sz w:val="21"/>
          <w:szCs w:val="21"/>
        </w:rPr>
      </w:pPr>
      <w:r w:rsidRPr="00812C2B">
        <w:rPr>
          <w:rStyle w:val="jsgrdq"/>
          <w:rFonts w:ascii="Century Gothic" w:hAnsi="Century Gothic" w:cstheme="minorHAnsi"/>
          <w:b/>
          <w:bCs/>
          <w:color w:val="262626" w:themeColor="text1" w:themeTint="D9"/>
          <w:spacing w:val="14"/>
          <w:sz w:val="21"/>
          <w:szCs w:val="21"/>
        </w:rPr>
        <w:t>Conseil de la culture de</w:t>
      </w:r>
    </w:p>
    <w:p w14:paraId="6C2AEECD" w14:textId="77777777" w:rsidR="007D6F99" w:rsidRPr="00812C2B" w:rsidRDefault="007D6F99" w:rsidP="007D6F99">
      <w:pPr>
        <w:pStyle w:val="04xlpa"/>
        <w:shd w:val="clear" w:color="auto" w:fill="F2F2F2" w:themeFill="background1" w:themeFillShade="F2"/>
        <w:spacing w:before="0" w:beforeAutospacing="0" w:afterAutospacing="0" w:line="252" w:lineRule="auto"/>
        <w:rPr>
          <w:rFonts w:ascii="Century Gothic" w:hAnsi="Century Gothic" w:cstheme="minorHAnsi"/>
          <w:b/>
          <w:bCs/>
          <w:color w:val="262626" w:themeColor="text1" w:themeTint="D9"/>
          <w:spacing w:val="14"/>
          <w:sz w:val="21"/>
          <w:szCs w:val="21"/>
        </w:rPr>
      </w:pPr>
      <w:proofErr w:type="gramStart"/>
      <w:r w:rsidRPr="00812C2B">
        <w:rPr>
          <w:rStyle w:val="jsgrdq"/>
          <w:rFonts w:ascii="Century Gothic" w:hAnsi="Century Gothic" w:cstheme="minorHAnsi"/>
          <w:b/>
          <w:bCs/>
          <w:color w:val="262626" w:themeColor="text1" w:themeTint="D9"/>
          <w:spacing w:val="14"/>
          <w:sz w:val="21"/>
          <w:szCs w:val="21"/>
        </w:rPr>
        <w:t>l'Abitibi</w:t>
      </w:r>
      <w:proofErr w:type="gramEnd"/>
      <w:r w:rsidRPr="00812C2B">
        <w:rPr>
          <w:rStyle w:val="jsgrdq"/>
          <w:rFonts w:ascii="Century Gothic" w:hAnsi="Century Gothic" w:cstheme="minorHAnsi"/>
          <w:b/>
          <w:bCs/>
          <w:color w:val="262626" w:themeColor="text1" w:themeTint="D9"/>
          <w:spacing w:val="14"/>
          <w:sz w:val="21"/>
          <w:szCs w:val="21"/>
        </w:rPr>
        <w:t>-Témiscamingue</w:t>
      </w:r>
    </w:p>
    <w:p w14:paraId="46182276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tabs>
          <w:tab w:val="left" w:pos="426"/>
        </w:tabs>
        <w:spacing w:before="0" w:beforeAutospacing="0" w:after="0" w:afterAutospacing="0" w:line="252" w:lineRule="auto"/>
        <w:rPr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proofErr w:type="gramStart"/>
      <w:r w:rsidRPr="00812C2B">
        <w:rPr>
          <w:rStyle w:val="jsgrdq"/>
          <w:rFonts w:ascii="Century Gothic" w:hAnsi="Century Gothic" w:cstheme="minorHAnsi"/>
          <w:b/>
          <w:bCs/>
          <w:color w:val="CF8837"/>
          <w:spacing w:val="14"/>
          <w:sz w:val="21"/>
          <w:szCs w:val="21"/>
        </w:rPr>
        <w:t>t</w:t>
      </w:r>
      <w:proofErr w:type="gramEnd"/>
      <w:r w:rsidRPr="00812C2B">
        <w:rPr>
          <w:rStyle w:val="jsgrdq"/>
          <w:rFonts w:ascii="Century Gothic" w:hAnsi="Century Gothic" w:cstheme="minorHAnsi"/>
          <w:b/>
          <w:bCs/>
          <w:color w:val="CF8837"/>
          <w:spacing w:val="14"/>
          <w:sz w:val="21"/>
          <w:szCs w:val="21"/>
        </w:rPr>
        <w:t> :</w:t>
      </w:r>
      <w:r w:rsidRPr="00812C2B">
        <w:rPr>
          <w:rStyle w:val="jsgrdq"/>
          <w:rFonts w:ascii="Century Gothic" w:hAnsi="Century Gothic" w:cstheme="minorHAnsi"/>
          <w:color w:val="CF8837"/>
          <w:spacing w:val="14"/>
          <w:sz w:val="21"/>
          <w:szCs w:val="21"/>
        </w:rPr>
        <w:t xml:space="preserve"> </w:t>
      </w:r>
      <w:r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ab/>
      </w: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819-794-95111 poste 22</w:t>
      </w:r>
    </w:p>
    <w:p w14:paraId="26EEE99A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tabs>
          <w:tab w:val="left" w:pos="426"/>
        </w:tabs>
        <w:spacing w:before="0" w:beforeAutospacing="0" w:after="0" w:afterAutospacing="0" w:line="252" w:lineRule="auto"/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812C2B">
        <w:rPr>
          <w:rFonts w:ascii="Century Gothic" w:hAnsi="Century Gothic"/>
          <w:b/>
          <w:bCs/>
          <w:color w:val="CF8837"/>
          <w:sz w:val="21"/>
          <w:szCs w:val="21"/>
        </w:rPr>
        <w:t>c :</w:t>
      </w:r>
      <w:r w:rsidRPr="00812C2B">
        <w:rPr>
          <w:rFonts w:ascii="Century Gothic" w:hAnsi="Century Gothic"/>
          <w:color w:val="CF8837"/>
          <w:sz w:val="21"/>
          <w:szCs w:val="21"/>
        </w:rPr>
        <w:t xml:space="preserve"> </w:t>
      </w:r>
      <w:r>
        <w:rPr>
          <w:rFonts w:ascii="Century Gothic" w:hAnsi="Century Gothic"/>
          <w:color w:val="262626" w:themeColor="text1" w:themeTint="D9"/>
          <w:sz w:val="21"/>
          <w:szCs w:val="21"/>
        </w:rPr>
        <w:tab/>
      </w:r>
      <w:hyperlink r:id="rId12" w:history="1">
        <w:r w:rsidRPr="00812C2B">
          <w:rPr>
            <w:rStyle w:val="Lienhypertexte"/>
            <w:rFonts w:ascii="Century Gothic" w:hAnsi="Century Gothic" w:cstheme="minorHAnsi"/>
            <w:color w:val="2E3191"/>
            <w:spacing w:val="14"/>
            <w:sz w:val="21"/>
            <w:szCs w:val="21"/>
          </w:rPr>
          <w:t>dev@ccat.qc.ca</w:t>
        </w:r>
      </w:hyperlink>
    </w:p>
    <w:p w14:paraId="36847F87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spacing w:before="0" w:beforeAutospacing="0" w:after="0" w:afterAutospacing="0" w:line="252" w:lineRule="auto"/>
        <w:rPr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150 avenue du Lac</w:t>
      </w:r>
    </w:p>
    <w:p w14:paraId="141D3BEE" w14:textId="551F55D1" w:rsidR="007D6F99" w:rsidRDefault="007D6F99" w:rsidP="007D6F99">
      <w:pPr>
        <w:pStyle w:val="04xlpa"/>
        <w:shd w:val="clear" w:color="auto" w:fill="F2F2F2" w:themeFill="background1" w:themeFillShade="F2"/>
        <w:spacing w:before="0" w:beforeAutospacing="0" w:after="0" w:afterAutospacing="0" w:line="252" w:lineRule="auto"/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Rouyn-Noranda (Q</w:t>
      </w:r>
      <w:r w:rsidR="00271619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uébe</w:t>
      </w: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c)</w:t>
      </w:r>
      <w:r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 xml:space="preserve"> </w:t>
      </w:r>
      <w:r w:rsidRPr="006446F5"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  <w:t>J9X 4N5</w:t>
      </w:r>
    </w:p>
    <w:p w14:paraId="4090E3CA" w14:textId="77777777" w:rsidR="007D6F99" w:rsidRPr="006446F5" w:rsidRDefault="007D6F99" w:rsidP="007D6F99">
      <w:pPr>
        <w:pStyle w:val="04xlpa"/>
        <w:shd w:val="clear" w:color="auto" w:fill="F2F2F2" w:themeFill="background1" w:themeFillShade="F2"/>
        <w:spacing w:before="0" w:beforeAutospacing="0" w:after="0" w:afterAutospacing="0" w:line="252" w:lineRule="auto"/>
        <w:rPr>
          <w:rStyle w:val="jsgrdq"/>
          <w:rFonts w:ascii="Century Gothic" w:hAnsi="Century Gothic" w:cstheme="minorHAnsi"/>
          <w:color w:val="262626" w:themeColor="text1" w:themeTint="D9"/>
          <w:spacing w:val="14"/>
          <w:sz w:val="21"/>
          <w:szCs w:val="21"/>
        </w:rPr>
      </w:pPr>
    </w:p>
    <w:p w14:paraId="0C82DA85" w14:textId="77777777" w:rsidR="007D6F99" w:rsidRPr="00653249" w:rsidRDefault="007D6F99" w:rsidP="007D6F99">
      <w:pPr>
        <w:spacing w:before="100" w:after="100" w:line="252" w:lineRule="auto"/>
        <w:ind w:right="-135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</w:p>
    <w:p w14:paraId="7B061EA6" w14:textId="77777777" w:rsidR="00F77FE3" w:rsidRPr="000D0B0A" w:rsidRDefault="00F77FE3" w:rsidP="00F77FE3">
      <w:pPr>
        <w:spacing w:before="100" w:after="100" w:line="252" w:lineRule="auto"/>
        <w:rPr>
          <w:rFonts w:ascii="Century Gothic" w:eastAsia="Times New Roman" w:hAnsi="Century Gothic"/>
          <w:color w:val="262626" w:themeColor="text1" w:themeTint="D9"/>
          <w:sz w:val="20"/>
          <w:szCs w:val="20"/>
          <w:lang w:eastAsia="fr-CA"/>
        </w:rPr>
      </w:pPr>
    </w:p>
    <w:p w14:paraId="32705D50" w14:textId="77777777" w:rsidR="00BB3CBA" w:rsidRDefault="00BB3CBA" w:rsidP="00812C2B">
      <w:pPr>
        <w:spacing w:before="100" w:after="100" w:line="252" w:lineRule="auto"/>
        <w:ind w:left="360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  <w:sectPr w:rsidR="00BB3CBA" w:rsidSect="007D6F99">
          <w:type w:val="continuous"/>
          <w:pgSz w:w="12240" w:h="15840" w:code="1"/>
          <w:pgMar w:top="1440" w:right="994" w:bottom="1152" w:left="994" w:header="706" w:footer="706" w:gutter="0"/>
          <w:cols w:num="2" w:space="709"/>
          <w:docGrid w:linePitch="360"/>
        </w:sectPr>
      </w:pPr>
    </w:p>
    <w:p w14:paraId="66297C95" w14:textId="78821BC5" w:rsidR="006446F5" w:rsidRPr="006446F5" w:rsidRDefault="006446F5" w:rsidP="00812C2B">
      <w:pPr>
        <w:spacing w:before="100" w:after="100" w:line="252" w:lineRule="auto"/>
        <w:ind w:left="360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</w:p>
    <w:p w14:paraId="3A3E4BCF" w14:textId="77777777" w:rsidR="00681961" w:rsidRDefault="00681961">
      <w:pPr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  <w:br w:type="page"/>
      </w:r>
    </w:p>
    <w:p w14:paraId="56485874" w14:textId="77777777" w:rsidR="00BB3CBA" w:rsidRDefault="00BB3CBA" w:rsidP="00BB3CBA">
      <w:pPr>
        <w:spacing w:before="100" w:after="100" w:line="252" w:lineRule="auto"/>
        <w:rPr>
          <w:rFonts w:ascii="Century Gothic" w:hAnsi="Century Gothic" w:cstheme="minorHAnsi"/>
          <w:color w:val="BD4931"/>
          <w:spacing w:val="14"/>
        </w:rPr>
      </w:pPr>
    </w:p>
    <w:p w14:paraId="06FB921B" w14:textId="77777777" w:rsidR="002E3589" w:rsidRDefault="002E3589" w:rsidP="00BB3CBA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  <w:sectPr w:rsidR="002E3589" w:rsidSect="007D6F99">
          <w:type w:val="continuous"/>
          <w:pgSz w:w="12240" w:h="15840" w:code="1"/>
          <w:pgMar w:top="1440" w:right="992" w:bottom="1440" w:left="992" w:header="709" w:footer="709" w:gutter="0"/>
          <w:cols w:space="709"/>
          <w:docGrid w:linePitch="360"/>
        </w:sectPr>
      </w:pPr>
    </w:p>
    <w:p w14:paraId="48453B03" w14:textId="02620F8F" w:rsidR="005A03B9" w:rsidRPr="00812C2B" w:rsidRDefault="006A4942" w:rsidP="00BB3CBA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>
        <w:rPr>
          <w:rFonts w:ascii="Century Gothic" w:hAnsi="Century Gothic" w:cstheme="minorHAnsi"/>
          <w:color w:val="BD4931"/>
          <w:spacing w:val="14"/>
        </w:rPr>
        <w:t>MÉTHODE DE CONSULTATION (7 ÉTAPES)</w:t>
      </w:r>
    </w:p>
    <w:p w14:paraId="3EDA128E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Préparation du sujet de l’escouade par le demandeur (en amont de la première rencontre)</w:t>
      </w:r>
    </w:p>
    <w:p w14:paraId="4F069A44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Exposé du sujet aux experts-consultants</w:t>
      </w:r>
    </w:p>
    <w:p w14:paraId="4B5903E2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Clarification afin de préciser la compréhension du sujet par les experts-consultants</w:t>
      </w:r>
    </w:p>
    <w:p w14:paraId="30F6E57F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Précision des résultats souhaités ou de la demande d’aide auprès des experts-consultants</w:t>
      </w:r>
    </w:p>
    <w:p w14:paraId="0ACEFE4D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Recherche d’idées, de suggestions et de pistes de solutions explorées par les experts-consultants</w:t>
      </w:r>
    </w:p>
    <w:p w14:paraId="41FE7630" w14:textId="77777777" w:rsidR="006A4942" w:rsidRPr="006A4942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Synthèse et plan d’action proposé par les experts-consultants</w:t>
      </w:r>
    </w:p>
    <w:p w14:paraId="1F8B521E" w14:textId="5A08DB57" w:rsidR="006A4942" w:rsidRPr="006446F5" w:rsidRDefault="006A4942" w:rsidP="006A4942">
      <w:pPr>
        <w:numPr>
          <w:ilvl w:val="0"/>
          <w:numId w:val="30"/>
        </w:numPr>
        <w:tabs>
          <w:tab w:val="clear" w:pos="720"/>
        </w:tabs>
        <w:spacing w:before="100" w:after="0" w:line="252" w:lineRule="auto"/>
        <w:ind w:left="270" w:right="208" w:hanging="27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49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Apprentissages et évaluation des participants de l’escouade culturelle</w:t>
      </w:r>
    </w:p>
    <w:p w14:paraId="53D32370" w14:textId="77777777" w:rsidR="00FB6618" w:rsidRPr="006446F5" w:rsidRDefault="00FB6618" w:rsidP="00812C2B">
      <w:pPr>
        <w:spacing w:before="100" w:after="100" w:line="252" w:lineRule="auto"/>
        <w:rPr>
          <w:rFonts w:ascii="Century Gothic" w:eastAsia="Times New Roman" w:hAnsi="Century Gothic" w:cstheme="minorHAnsi"/>
          <w:b/>
          <w:bCs/>
          <w:color w:val="262626" w:themeColor="text1" w:themeTint="D9"/>
          <w:sz w:val="21"/>
          <w:szCs w:val="21"/>
          <w:lang w:eastAsia="fr-CA"/>
        </w:rPr>
      </w:pPr>
    </w:p>
    <w:p w14:paraId="4385A7B2" w14:textId="7AE64CAE" w:rsidR="00C543DD" w:rsidRPr="006446F5" w:rsidRDefault="00370165" w:rsidP="00370165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b/>
          <w:bCs/>
          <w:color w:val="BD4931"/>
          <w:spacing w:val="6"/>
          <w:sz w:val="21"/>
          <w:szCs w:val="21"/>
        </w:rPr>
      </w:pPr>
      <w:r w:rsidRPr="00370165">
        <w:rPr>
          <w:rFonts w:ascii="Century Gothic" w:hAnsi="Century Gothic" w:cstheme="minorHAnsi"/>
          <w:color w:val="BD4931"/>
          <w:spacing w:val="14"/>
        </w:rPr>
        <w:t>RÔLE DU CONSEIL DE LA CULTURE DANS LE DÉROULEMENT DE L’ESCOUADE</w:t>
      </w:r>
    </w:p>
    <w:p w14:paraId="272D1BDE" w14:textId="77777777" w:rsidR="001C4597" w:rsidRPr="001C4597" w:rsidRDefault="001C4597" w:rsidP="001C4597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4597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Prendre des ententes de service avec les divers intervenants concernés par la tenue de l’escouade (experts-consultants)</w:t>
      </w:r>
    </w:p>
    <w:p w14:paraId="0892CAA6" w14:textId="15665E1E" w:rsidR="001C4597" w:rsidRPr="001C4597" w:rsidRDefault="001C4597" w:rsidP="001C4597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4597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Déterminer la part de financement en fonction du co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u</w:t>
      </w:r>
      <w:r w:rsidRPr="001C4597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t global de l’activité (68 % des dépenses totales)</w:t>
      </w:r>
    </w:p>
    <w:p w14:paraId="267FBF34" w14:textId="77777777" w:rsidR="00632F25" w:rsidRPr="00632F25" w:rsidRDefault="001C4597" w:rsidP="00632F25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hAnsi="Century Gothic" w:cstheme="minorHAnsi"/>
          <w:color w:val="BD4931"/>
          <w:spacing w:val="14"/>
        </w:rPr>
      </w:pPr>
      <w:r w:rsidRPr="00632F25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Valider le contenu, la problématique et les objectifs visés </w:t>
      </w:r>
    </w:p>
    <w:p w14:paraId="1F0B0903" w14:textId="50A008D5" w:rsidR="005A03B9" w:rsidRPr="00632F25" w:rsidRDefault="00EB7E22" w:rsidP="00632F25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F16010">
        <w:rPr>
          <w:rFonts w:ascii="Century Gothic" w:hAnsi="Century Gothic" w:cstheme="minorHAnsi"/>
          <w:color w:val="BD4931"/>
          <w:spacing w:val="14"/>
          <w:sz w:val="10"/>
          <w:szCs w:val="10"/>
        </w:rPr>
        <w:br w:type="column"/>
      </w:r>
      <w:r w:rsidR="003D69E2" w:rsidRPr="00632F25">
        <w:rPr>
          <w:rFonts w:ascii="Century Gothic" w:hAnsi="Century Gothic" w:cstheme="minorHAnsi"/>
          <w:color w:val="BD4931"/>
          <w:spacing w:val="14"/>
        </w:rPr>
        <w:t>RÔLE DU DEMANDEU</w:t>
      </w:r>
      <w:r w:rsidR="00812C2B" w:rsidRPr="00632F25">
        <w:rPr>
          <w:rFonts w:ascii="Century Gothic" w:hAnsi="Century Gothic" w:cstheme="minorHAnsi"/>
          <w:color w:val="BD4931"/>
          <w:spacing w:val="14"/>
        </w:rPr>
        <w:t>R</w:t>
      </w:r>
    </w:p>
    <w:p w14:paraId="2BF22572" w14:textId="77777777" w:rsidR="003D69E2" w:rsidRPr="003D69E2" w:rsidRDefault="003D69E2" w:rsidP="003D69E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Être préparé et efficace dans la présentation de son sujet</w:t>
      </w:r>
    </w:p>
    <w:p w14:paraId="039341E9" w14:textId="77777777" w:rsidR="003D69E2" w:rsidRPr="003D69E2" w:rsidRDefault="003D69E2" w:rsidP="003D69E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Être actif dans la consultation (précise ses attentes et ses besoins, gère le rythme, son temps)</w:t>
      </w:r>
    </w:p>
    <w:p w14:paraId="435443AA" w14:textId="67BE6B77" w:rsidR="003D69E2" w:rsidRPr="003D69E2" w:rsidRDefault="003D69E2" w:rsidP="003D69E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Être ouvert au risque, être à l’écoute et accepter les commentaires, reconnaît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re</w:t>
      </w:r>
      <w:r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ses difficultés</w:t>
      </w:r>
    </w:p>
    <w:p w14:paraId="12B49732" w14:textId="279E4501" w:rsidR="003D69E2" w:rsidRPr="003D69E2" w:rsidRDefault="00271619" w:rsidP="003D69E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Être p</w:t>
      </w:r>
      <w:r w:rsidR="003D69E2"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rêt à passer à l’action</w:t>
      </w:r>
    </w:p>
    <w:p w14:paraId="29729606" w14:textId="1670A4D5" w:rsidR="003D69E2" w:rsidRPr="000D228C" w:rsidRDefault="003D69E2" w:rsidP="000D228C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3D69E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Compléter le rapport final de l’escouade et partager ses apprentissages</w:t>
      </w:r>
    </w:p>
    <w:p w14:paraId="57F99026" w14:textId="77777777" w:rsidR="00341781" w:rsidRPr="006446F5" w:rsidRDefault="00341781" w:rsidP="00341781">
      <w:pPr>
        <w:spacing w:before="100" w:after="100" w:line="252" w:lineRule="auto"/>
        <w:ind w:left="360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</w:p>
    <w:p w14:paraId="1C1BDE6B" w14:textId="7C0753B7" w:rsidR="00341781" w:rsidRPr="00812C2B" w:rsidRDefault="004877AB" w:rsidP="00341781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4877AB">
        <w:rPr>
          <w:rFonts w:ascii="Century Gothic" w:hAnsi="Century Gothic" w:cstheme="minorHAnsi"/>
          <w:color w:val="BD4931"/>
          <w:spacing w:val="14"/>
        </w:rPr>
        <w:t xml:space="preserve">RÔLE DES EXPERT.ES CONSULTANT.ES </w:t>
      </w:r>
    </w:p>
    <w:p w14:paraId="40211816" w14:textId="77777777" w:rsidR="001C161E" w:rsidRPr="001C161E" w:rsidRDefault="001C161E" w:rsidP="001C161E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161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Respect de la confidentialité</w:t>
      </w:r>
    </w:p>
    <w:p w14:paraId="50A5DDFB" w14:textId="77777777" w:rsidR="001C161E" w:rsidRPr="001C161E" w:rsidRDefault="001C161E" w:rsidP="001C161E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161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Questionnement sans jugement, avec impact et bienveillance</w:t>
      </w:r>
    </w:p>
    <w:p w14:paraId="0641C5CC" w14:textId="77777777" w:rsidR="001C161E" w:rsidRPr="001C161E" w:rsidRDefault="001C161E" w:rsidP="001C161E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161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Partage de leurs réflexions et de leurs expériences</w:t>
      </w:r>
    </w:p>
    <w:p w14:paraId="244DCDE5" w14:textId="77777777" w:rsidR="001C161E" w:rsidRPr="001C161E" w:rsidRDefault="001C161E" w:rsidP="001C161E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1C161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Proposition de pistes de solution sans les imposer</w:t>
      </w:r>
    </w:p>
    <w:p w14:paraId="1376F703" w14:textId="5A91C7EE" w:rsidR="005C02B8" w:rsidRPr="009019C9" w:rsidRDefault="00271619" w:rsidP="0065442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sectPr w:rsidR="005C02B8" w:rsidRPr="009019C9" w:rsidSect="007D6F99">
          <w:type w:val="continuous"/>
          <w:pgSz w:w="12240" w:h="15840" w:code="1"/>
          <w:pgMar w:top="1440" w:right="992" w:bottom="1440" w:left="992" w:header="709" w:footer="709" w:gutter="0"/>
          <w:cols w:num="2" w:space="709"/>
          <w:docGrid w:linePitch="360"/>
        </w:sectPr>
      </w:pPr>
      <w:r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L’évaluation de</w:t>
      </w:r>
      <w:r w:rsidR="001C161E" w:rsidRPr="001C161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l’escouade</w:t>
      </w:r>
    </w:p>
    <w:p w14:paraId="0277C229" w14:textId="77777777" w:rsidR="00F16010" w:rsidRDefault="00F16010" w:rsidP="008D73EC">
      <w:pPr>
        <w:spacing w:after="0" w:line="240" w:lineRule="auto"/>
        <w:rPr>
          <w:rFonts w:ascii="Century Gothic" w:eastAsia="Times New Roman" w:hAnsi="Century Gothic" w:cstheme="minorHAnsi"/>
          <w:color w:val="262626" w:themeColor="text1" w:themeTint="D9"/>
          <w:sz w:val="14"/>
          <w:szCs w:val="14"/>
          <w:lang w:eastAsia="fr-CA"/>
        </w:rPr>
        <w:sectPr w:rsidR="00F16010" w:rsidSect="007D6F99">
          <w:type w:val="continuous"/>
          <w:pgSz w:w="12240" w:h="15840" w:code="1"/>
          <w:pgMar w:top="1440" w:right="992" w:bottom="1440" w:left="992" w:header="709" w:footer="709" w:gutter="0"/>
          <w:cols w:num="2" w:space="709"/>
          <w:docGrid w:linePitch="360"/>
        </w:sectPr>
      </w:pPr>
    </w:p>
    <w:p w14:paraId="78794CBA" w14:textId="08F15478" w:rsidR="000C5161" w:rsidRPr="00353BED" w:rsidRDefault="001370A9" w:rsidP="000C5161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BD4931"/>
          <w:spacing w:val="14"/>
          <w:sz w:val="24"/>
          <w:szCs w:val="24"/>
        </w:rPr>
        <w:lastRenderedPageBreak/>
        <w:t>DESCRIPTION DU SOUTIEN FINANCIER</w:t>
      </w:r>
    </w:p>
    <w:p w14:paraId="51BF3BEB" w14:textId="5B1769D8" w:rsidR="00F3584B" w:rsidRDefault="00534DE0" w:rsidP="00534DE0">
      <w:pPr>
        <w:spacing w:before="120" w:after="120" w:line="240" w:lineRule="auto"/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</w:pPr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L’aide accordée prend la forme d’une subvention et ne peut dépasser 68 % des coûts de participation à l’activité de formation, et ce, jusqu’à concurrence de 1400</w:t>
      </w:r>
      <w:r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</w:t>
      </w:r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$. </w:t>
      </w:r>
    </w:p>
    <w:p w14:paraId="48C04CFA" w14:textId="22278A26" w:rsidR="00534DE0" w:rsidRPr="00505A65" w:rsidRDefault="00534DE0" w:rsidP="00F3584B">
      <w:pPr>
        <w:spacing w:before="120" w:after="120" w:line="240" w:lineRule="auto"/>
        <w:ind w:right="-94"/>
        <w:rPr>
          <w:rStyle w:val="jsgrdq"/>
          <w:color w:val="040404"/>
          <w:sz w:val="24"/>
          <w:szCs w:val="24"/>
        </w:rPr>
      </w:pPr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Elle ne peut être jumelée à une bourse déjà obtenue pour de la formation et du </w:t>
      </w:r>
      <w:proofErr w:type="spellStart"/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perfection</w:t>
      </w:r>
      <w:r w:rsidR="00F3584B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-</w:t>
      </w:r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>nement</w:t>
      </w:r>
      <w:proofErr w:type="spellEnd"/>
      <w:r w:rsidRPr="00534DE0">
        <w:rPr>
          <w:rFonts w:ascii="Century Gothic" w:eastAsia="Times New Roman" w:hAnsi="Century Gothic"/>
          <w:color w:val="262626" w:themeColor="text1" w:themeTint="D9"/>
          <w:sz w:val="23"/>
          <w:szCs w:val="23"/>
          <w:lang w:eastAsia="fr-CA"/>
        </w:rPr>
        <w:t xml:space="preserve"> en provenance du Conseil des arts et des lettres du Québec (CALQ), du Conseil des arts du Canada (CAC) ou de tout autre organisme offrant une subvention pour de la formation.</w:t>
      </w:r>
    </w:p>
    <w:p w14:paraId="5188BCED" w14:textId="1455FFD8" w:rsidR="000C5161" w:rsidRDefault="000C5161" w:rsidP="00534DE0">
      <w:pPr>
        <w:spacing w:before="100" w:after="100" w:line="252" w:lineRule="auto"/>
        <w:ind w:right="-274"/>
        <w:rPr>
          <w:rFonts w:ascii="Century Gothic" w:hAnsi="Century Gothic" w:cstheme="minorHAnsi"/>
          <w:color w:val="BD4931"/>
          <w:spacing w:val="14"/>
        </w:rPr>
      </w:pPr>
    </w:p>
    <w:p w14:paraId="075EDE5C" w14:textId="77777777" w:rsidR="008D73EC" w:rsidRDefault="008D73EC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  <w:sectPr w:rsidR="008D73EC" w:rsidSect="007D6F99">
          <w:pgSz w:w="12240" w:h="20160" w:code="5"/>
          <w:pgMar w:top="1440" w:right="992" w:bottom="1440" w:left="992" w:header="709" w:footer="709" w:gutter="0"/>
          <w:cols w:space="709"/>
          <w:docGrid w:linePitch="360"/>
        </w:sectPr>
      </w:pPr>
    </w:p>
    <w:p w14:paraId="30729E50" w14:textId="701C43B8" w:rsidR="005A03B9" w:rsidRPr="006446F5" w:rsidRDefault="00812C2B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b/>
          <w:bCs/>
          <w:color w:val="BD4931"/>
          <w:spacing w:val="6"/>
          <w:sz w:val="21"/>
          <w:szCs w:val="21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MODALITÉS</w:t>
      </w:r>
    </w:p>
    <w:p w14:paraId="5110AA40" w14:textId="48373546" w:rsidR="00F27442" w:rsidRPr="00F27442" w:rsidRDefault="00F27442" w:rsidP="00F2744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F274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Les demandes devront être faites dans un délai minimal de 5 semaines avant la tenue de l’activité excluant les périodes des 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fêtes ou les vacances estivales</w:t>
      </w:r>
    </w:p>
    <w:p w14:paraId="07604202" w14:textId="77777777" w:rsidR="00F27442" w:rsidRPr="00F27442" w:rsidRDefault="00F27442" w:rsidP="00F2744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F274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Aucune nouvelle demande de soutien financier ne peut être présentée tant que le rapport final de l’activité précédente n’a pas été transmis</w:t>
      </w:r>
    </w:p>
    <w:p w14:paraId="7AAF28A8" w14:textId="6BAA4D14" w:rsidR="00C543DD" w:rsidRPr="00F27442" w:rsidRDefault="00F27442" w:rsidP="00F2744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  <w:r w:rsidRPr="00F274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 paiement a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uprès des experts sera effectué</w:t>
      </w:r>
      <w:r w:rsidRPr="00F2744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après la réalisation de l’escouade. Le remboursement auprès du demandeur sera versé lors du dépôt du rapport final accompagné des pièces justificatives</w:t>
      </w:r>
    </w:p>
    <w:p w14:paraId="5BE72250" w14:textId="77777777" w:rsidR="00F27442" w:rsidRPr="006446F5" w:rsidRDefault="00F27442" w:rsidP="00F27442">
      <w:pPr>
        <w:spacing w:before="100" w:after="100" w:line="252" w:lineRule="auto"/>
        <w:ind w:left="284" w:right="-135"/>
        <w:rPr>
          <w:rStyle w:val="jsgrdq"/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</w:p>
    <w:p w14:paraId="2123EB31" w14:textId="047678E5" w:rsidR="005A03B9" w:rsidRPr="00812C2B" w:rsidRDefault="00812C2B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SÉLECTION DES PROJETS</w:t>
      </w:r>
    </w:p>
    <w:p w14:paraId="4037E19B" w14:textId="48699C6C" w:rsidR="006A0F27" w:rsidRPr="006A0F27" w:rsidRDefault="006A0F27" w:rsidP="006A0F27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0F27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L’attribution du soutien financier dépend du budget disponible. La formule "premier arrivé, premier servi" est appliq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uée</w:t>
      </w:r>
    </w:p>
    <w:p w14:paraId="3AD6CA2E" w14:textId="77777777" w:rsidR="006A0F27" w:rsidRPr="006A0F27" w:rsidRDefault="006A0F27" w:rsidP="006A0F27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6A0F27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Chaque demande sera traitée en fonction de sa date de réception, de sa recevabilité et des budgets disponibles</w:t>
      </w:r>
    </w:p>
    <w:p w14:paraId="1E0CB7FE" w14:textId="77777777" w:rsidR="00C543DD" w:rsidRPr="006446F5" w:rsidRDefault="00C543DD" w:rsidP="00812C2B">
      <w:pPr>
        <w:spacing w:before="100" w:after="100" w:line="252" w:lineRule="auto"/>
        <w:rPr>
          <w:rStyle w:val="jsgrdq"/>
          <w:rFonts w:ascii="Century Gothic" w:hAnsi="Century Gothic" w:cstheme="minorHAnsi"/>
          <w:color w:val="262626" w:themeColor="text1" w:themeTint="D9"/>
          <w:sz w:val="21"/>
          <w:szCs w:val="21"/>
        </w:rPr>
      </w:pPr>
    </w:p>
    <w:p w14:paraId="3117EDDE" w14:textId="583D29CF" w:rsidR="005A03B9" w:rsidRPr="00812C2B" w:rsidRDefault="00812C2B" w:rsidP="00812C2B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 w:rsidRPr="00812C2B">
        <w:rPr>
          <w:rFonts w:ascii="Century Gothic" w:hAnsi="Century Gothic" w:cstheme="minorHAnsi"/>
          <w:color w:val="BD4931"/>
          <w:spacing w:val="14"/>
        </w:rPr>
        <w:t>CRITÈRES D’ÉVALUATION</w:t>
      </w:r>
    </w:p>
    <w:p w14:paraId="20E4B37A" w14:textId="77777777" w:rsidR="00DD0353" w:rsidRPr="00DD0353" w:rsidRDefault="00DD0353" w:rsidP="00DD035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DD035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La pertinence de la problématique exposée, de l’apport au développement du demandeur</w:t>
      </w:r>
    </w:p>
    <w:p w14:paraId="00C61C33" w14:textId="20D69DB2" w:rsidR="00DD0353" w:rsidRPr="00DD0353" w:rsidRDefault="00271619" w:rsidP="00DD035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</w:t>
      </w:r>
      <w:r w:rsidR="00DD0353" w:rsidRPr="00DD035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’acquisition ou la consolidation de connaissances et de compétences</w:t>
      </w:r>
    </w:p>
    <w:p w14:paraId="4B3491F0" w14:textId="77777777" w:rsidR="00DD0353" w:rsidRPr="00DD0353" w:rsidRDefault="00DD0353" w:rsidP="00DD035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DD035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La qualité générale du dossier</w:t>
      </w:r>
    </w:p>
    <w:p w14:paraId="3ACF93FB" w14:textId="77777777" w:rsidR="00DD0353" w:rsidRPr="00DD0353" w:rsidRDefault="00DD0353" w:rsidP="00DD035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DD035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Les experts-consultants possèdent les connaissances ainsi que la compétence recherchée</w:t>
      </w:r>
    </w:p>
    <w:p w14:paraId="7A4FA88F" w14:textId="77777777" w:rsidR="009027E3" w:rsidRPr="009027E3" w:rsidRDefault="00DD0353" w:rsidP="009027E3">
      <w:pPr>
        <w:numPr>
          <w:ilvl w:val="0"/>
          <w:numId w:val="1"/>
        </w:numPr>
        <w:spacing w:before="100" w:after="100" w:line="252" w:lineRule="auto"/>
        <w:ind w:left="284" w:right="-177" w:hanging="284"/>
        <w:rPr>
          <w:rFonts w:ascii="Century Gothic" w:hAnsi="Century Gothic" w:cstheme="minorHAnsi"/>
          <w:b/>
          <w:bCs/>
          <w:color w:val="BD4931"/>
          <w:spacing w:val="6"/>
        </w:rPr>
      </w:pPr>
      <w:r w:rsidRPr="009027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La faisabilité du projet</w:t>
      </w:r>
    </w:p>
    <w:p w14:paraId="42C9247F" w14:textId="77777777" w:rsidR="009027E3" w:rsidRPr="009027E3" w:rsidRDefault="009027E3" w:rsidP="009027E3">
      <w:pPr>
        <w:spacing w:before="100" w:after="100" w:line="252" w:lineRule="auto"/>
        <w:ind w:right="-177"/>
        <w:rPr>
          <w:rFonts w:ascii="Century Gothic" w:hAnsi="Century Gothic" w:cstheme="minorHAnsi"/>
          <w:b/>
          <w:bCs/>
          <w:color w:val="BD4931"/>
          <w:spacing w:val="6"/>
        </w:rPr>
      </w:pPr>
    </w:p>
    <w:p w14:paraId="2221DBF2" w14:textId="05FD0176" w:rsidR="005A03B9" w:rsidRPr="009027E3" w:rsidRDefault="009027E3" w:rsidP="009027E3">
      <w:pPr>
        <w:pBdr>
          <w:bottom w:val="single" w:sz="2" w:space="1" w:color="404040" w:themeColor="text1" w:themeTint="BF"/>
        </w:pBdr>
        <w:spacing w:before="100" w:after="100" w:line="252" w:lineRule="auto"/>
        <w:ind w:right="-177"/>
        <w:rPr>
          <w:rFonts w:ascii="Century Gothic" w:hAnsi="Century Gothic" w:cstheme="minorHAnsi"/>
          <w:b/>
          <w:bCs/>
          <w:color w:val="BD4931"/>
          <w:spacing w:val="6"/>
        </w:rPr>
      </w:pPr>
      <w:r>
        <w:rPr>
          <w:rFonts w:ascii="Century Gothic" w:hAnsi="Century Gothic" w:cstheme="minorHAnsi"/>
          <w:color w:val="BD4931"/>
          <w:spacing w:val="14"/>
        </w:rPr>
        <w:br w:type="column"/>
      </w:r>
      <w:r w:rsidR="00812C2B" w:rsidRPr="009027E3">
        <w:rPr>
          <w:rFonts w:ascii="Century Gothic" w:hAnsi="Century Gothic" w:cstheme="minorHAnsi"/>
          <w:color w:val="BD4931"/>
          <w:spacing w:val="14"/>
        </w:rPr>
        <w:t>DÉPENSES ADMISSIBLES</w:t>
      </w:r>
      <w:r w:rsidR="001E380D" w:rsidRPr="009027E3">
        <w:rPr>
          <w:rFonts w:ascii="Century Gothic" w:hAnsi="Century Gothic" w:cstheme="minorHAnsi"/>
          <w:color w:val="BD4931"/>
          <w:spacing w:val="14"/>
        </w:rPr>
        <w:t xml:space="preserve"> </w:t>
      </w:r>
      <w:r w:rsidR="00886338" w:rsidRPr="009027E3">
        <w:rPr>
          <w:rFonts w:ascii="Century Gothic" w:hAnsi="Century Gothic" w:cstheme="minorHAnsi"/>
          <w:color w:val="BD4931"/>
          <w:spacing w:val="14"/>
        </w:rPr>
        <w:t xml:space="preserve">LIÉES À </w:t>
      </w:r>
      <w:r w:rsidR="005F4128" w:rsidRPr="009027E3">
        <w:rPr>
          <w:rFonts w:ascii="Century Gothic" w:hAnsi="Century Gothic" w:cstheme="minorHAnsi"/>
          <w:color w:val="BD4931"/>
          <w:spacing w:val="14"/>
        </w:rPr>
        <w:t>L’EMBAUCHE DES EXPERTS-CONSULTANTS</w:t>
      </w:r>
    </w:p>
    <w:p w14:paraId="345A7973" w14:textId="646C7F9E" w:rsidR="00544AB2" w:rsidRDefault="00544AB2" w:rsidP="00544AB2">
      <w:pPr>
        <w:spacing w:before="100" w:after="100" w:line="252" w:lineRule="auto"/>
        <w:ind w:right="-135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Jusqu’à</w:t>
      </w:r>
      <w:r w:rsidR="00C120E3"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un maximum de 68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</w:t>
      </w:r>
      <w:r w:rsidR="00C120E3"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% des dépenses</w:t>
      </w:r>
      <w:r w:rsidR="00FF2630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totale </w:t>
      </w:r>
      <w:r w:rsidR="00C120E3"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d</w:t>
      </w:r>
      <w:r w:rsidR="00FF2630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e l’activité</w:t>
      </w:r>
      <w:r w:rsidR="00C120E3"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. </w:t>
      </w:r>
    </w:p>
    <w:p w14:paraId="581BACA5" w14:textId="7E9AA9E0" w:rsidR="00C120E3" w:rsidRPr="00544AB2" w:rsidRDefault="00C120E3" w:rsidP="00544AB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544AB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Les cachets versés aux experts-consultant</w:t>
      </w:r>
      <w:r w:rsidR="005F4128" w:rsidRPr="00544AB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s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(210$/journée de 7h/</w:t>
      </w:r>
      <w:r w:rsidRPr="00544AB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expert)</w:t>
      </w:r>
    </w:p>
    <w:p w14:paraId="38BB14E0" w14:textId="148C4C23" w:rsidR="00C120E3" w:rsidRPr="00271619" w:rsidRDefault="00C120E3" w:rsidP="00271619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Les déplacements des experts-consultants (0,43 $ par kilomètre parcouru, à partir de 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   </w:t>
      </w:r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65 km et plus). Les experts-consultants devront provenir de l’Abitibi-Témiscamingu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e. Seuls les déplacements inter</w:t>
      </w:r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régionaux seront remboursés.</w:t>
      </w:r>
    </w:p>
    <w:p w14:paraId="7C1CB488" w14:textId="7F7A717C" w:rsidR="00C120E3" w:rsidRPr="00C120E3" w:rsidRDefault="00C120E3" w:rsidP="00C120E3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L’hébergement (maximum de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150 $ par nuitée si à l’hôtel </w:t>
      </w:r>
      <w:r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de 25 $ par nuitée résidentielle régionale et de 40 $ par nuitée résidentielle extrarégionale) </w:t>
      </w:r>
    </w:p>
    <w:p w14:paraId="7446B978" w14:textId="4561BAF7" w:rsidR="00C120E3" w:rsidRPr="00271619" w:rsidRDefault="00C120E3" w:rsidP="00271619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C120E3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Les indemnités pour les repas (per diem) sont fixées à 57 $ par jour de formation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           </w:t>
      </w:r>
      <w:proofErr w:type="gramStart"/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  </w:t>
      </w:r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(</w:t>
      </w:r>
      <w:proofErr w:type="gramEnd"/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12 $/déjeuner, 15 $/diner et 30 $/souper</w:t>
      </w:r>
    </w:p>
    <w:p w14:paraId="6A3316AB" w14:textId="0F8C23F1" w:rsidR="008A61F7" w:rsidRDefault="008A61F7" w:rsidP="00812C2B">
      <w:pPr>
        <w:spacing w:before="100" w:after="100" w:line="252" w:lineRule="auto"/>
        <w:rPr>
          <w:rFonts w:ascii="Century Gothic" w:eastAsia="Times New Roman" w:hAnsi="Century Gothic" w:cstheme="minorHAnsi"/>
          <w:color w:val="262626" w:themeColor="text1" w:themeTint="D9"/>
          <w:sz w:val="21"/>
          <w:szCs w:val="21"/>
          <w:lang w:eastAsia="fr-CA"/>
        </w:rPr>
      </w:pPr>
    </w:p>
    <w:p w14:paraId="05841590" w14:textId="30B27055" w:rsidR="0096716D" w:rsidRPr="00166A8A" w:rsidRDefault="00DB7AF9" w:rsidP="00D34F8E">
      <w:pPr>
        <w:pBdr>
          <w:bottom w:val="single" w:sz="2" w:space="1" w:color="404040" w:themeColor="text1" w:themeTint="BF"/>
        </w:pBdr>
        <w:spacing w:after="100" w:line="252" w:lineRule="auto"/>
        <w:rPr>
          <w:rFonts w:ascii="Century Gothic" w:hAnsi="Century Gothic" w:cstheme="minorHAnsi"/>
          <w:color w:val="BD4931"/>
          <w:spacing w:val="14"/>
        </w:rPr>
      </w:pPr>
      <w:r>
        <w:rPr>
          <w:rFonts w:ascii="Century Gothic" w:hAnsi="Century Gothic" w:cstheme="minorHAnsi"/>
          <w:color w:val="BD4931"/>
          <w:spacing w:val="14"/>
        </w:rPr>
        <w:t xml:space="preserve">AUTRES </w:t>
      </w:r>
      <w:r w:rsidR="00166A8A" w:rsidRPr="00166A8A">
        <w:rPr>
          <w:rFonts w:ascii="Century Gothic" w:hAnsi="Century Gothic" w:cstheme="minorHAnsi"/>
          <w:color w:val="BD4931"/>
          <w:spacing w:val="14"/>
        </w:rPr>
        <w:t xml:space="preserve">DÉPENSES ADMISSIBLES </w:t>
      </w:r>
      <w:r w:rsidR="003B0475">
        <w:rPr>
          <w:rFonts w:ascii="Century Gothic" w:hAnsi="Century Gothic" w:cstheme="minorHAnsi"/>
          <w:color w:val="BD4931"/>
          <w:spacing w:val="14"/>
        </w:rPr>
        <w:t>POUR LA CONTRIBUTION DU</w:t>
      </w:r>
      <w:r w:rsidR="00166A8A" w:rsidRPr="00166A8A">
        <w:rPr>
          <w:rFonts w:ascii="Century Gothic" w:hAnsi="Century Gothic" w:cstheme="minorHAnsi"/>
          <w:color w:val="BD4931"/>
          <w:spacing w:val="14"/>
        </w:rPr>
        <w:t xml:space="preserve"> DEMANDEUR</w:t>
      </w:r>
    </w:p>
    <w:p w14:paraId="373BF6C3" w14:textId="514E6C59" w:rsidR="0096716D" w:rsidRPr="00D34F8E" w:rsidRDefault="0096716D" w:rsidP="00E35D10">
      <w:pPr>
        <w:spacing w:before="100" w:after="100" w:line="252" w:lineRule="auto"/>
        <w:ind w:right="-330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D34F8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Représente</w:t>
      </w:r>
      <w:r w:rsidR="003B0475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un minimum de </w:t>
      </w:r>
      <w:r w:rsidRPr="00D34F8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32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</w:t>
      </w:r>
      <w:r w:rsidRPr="00D34F8E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% des dépenses </w:t>
      </w:r>
      <w:r w:rsidR="009B43D4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totales de l’activité.</w:t>
      </w:r>
    </w:p>
    <w:p w14:paraId="4A5868BB" w14:textId="736400BB" w:rsidR="003C1F72" w:rsidRPr="0096716D" w:rsidRDefault="003C1F72" w:rsidP="003C1F72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Le local ou 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la </w:t>
      </w: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salle qui accueillera l’escouade pour la durée de l’activité</w:t>
      </w:r>
    </w:p>
    <w:p w14:paraId="127676F0" w14:textId="2C9675B0" w:rsidR="0096716D" w:rsidRPr="00271619" w:rsidRDefault="0096716D" w:rsidP="00271619">
      <w:pPr>
        <w:numPr>
          <w:ilvl w:val="0"/>
          <w:numId w:val="1"/>
        </w:numPr>
        <w:spacing w:before="100" w:after="100" w:line="252" w:lineRule="auto"/>
        <w:ind w:left="284" w:right="-87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Les </w:t>
      </w:r>
      <w:r w:rsidR="000F5D08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repas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d’une valeur</w:t>
      </w: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minimum </w:t>
      </w:r>
      <w:r w:rsid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de             </w:t>
      </w:r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15</w:t>
      </w:r>
      <w:r w:rsidR="00271619"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</w:t>
      </w:r>
      <w:r w:rsidRPr="00271619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$/personne/jour pour l’ensemble des participants et participantes</w:t>
      </w:r>
    </w:p>
    <w:p w14:paraId="65BD9A1F" w14:textId="77777777" w:rsidR="0096716D" w:rsidRPr="0096716D" w:rsidRDefault="0096716D" w:rsidP="0096716D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 temps de préparation du sujet et de la documentation nécessaire à fournir en amont aux experts</w:t>
      </w:r>
    </w:p>
    <w:p w14:paraId="35CE754C" w14:textId="798046DC" w:rsidR="0096716D" w:rsidRPr="0096716D" w:rsidRDefault="0096716D" w:rsidP="0096716D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 temps de participation à l’escouade (maximum 150</w:t>
      </w:r>
      <w:r w:rsidR="003C1F72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</w:t>
      </w: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$/journée de 7</w:t>
      </w:r>
      <w:r w:rsidR="006450CB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 xml:space="preserve"> </w:t>
      </w: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h)</w:t>
      </w:r>
    </w:p>
    <w:p w14:paraId="0238B62B" w14:textId="77777777" w:rsidR="0096716D" w:rsidRPr="0096716D" w:rsidRDefault="0096716D" w:rsidP="0096716D">
      <w:pPr>
        <w:numPr>
          <w:ilvl w:val="0"/>
          <w:numId w:val="1"/>
        </w:numPr>
        <w:spacing w:before="100" w:after="100" w:line="252" w:lineRule="auto"/>
        <w:ind w:left="284" w:right="-135" w:hanging="284"/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</w:pPr>
      <w:r w:rsidRPr="0096716D">
        <w:rPr>
          <w:rFonts w:ascii="Century Gothic" w:eastAsia="Times New Roman" w:hAnsi="Century Gothic"/>
          <w:color w:val="262626" w:themeColor="text1" w:themeTint="D9"/>
          <w:sz w:val="21"/>
          <w:szCs w:val="21"/>
          <w:lang w:eastAsia="fr-CA"/>
        </w:rPr>
        <w:t>Le matériel à fournir pour l’activité (photocopies, post-it, crayons, etc.)</w:t>
      </w:r>
    </w:p>
    <w:sectPr w:rsidR="0096716D" w:rsidRPr="0096716D" w:rsidSect="007D6F99">
      <w:type w:val="continuous"/>
      <w:pgSz w:w="12240" w:h="20160" w:code="5"/>
      <w:pgMar w:top="1440" w:right="992" w:bottom="1440" w:left="992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7BA1" w14:textId="77777777" w:rsidR="00EF42A1" w:rsidRDefault="00EF42A1" w:rsidP="004B77FB">
      <w:pPr>
        <w:spacing w:after="0" w:line="240" w:lineRule="auto"/>
      </w:pPr>
      <w:r>
        <w:separator/>
      </w:r>
    </w:p>
  </w:endnote>
  <w:endnote w:type="continuationSeparator" w:id="0">
    <w:p w14:paraId="5F34AD30" w14:textId="77777777" w:rsidR="00EF42A1" w:rsidRDefault="00EF42A1" w:rsidP="004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028D" w14:textId="70ADFB87" w:rsidR="00271619" w:rsidRDefault="00271619">
    <w:pPr>
      <w:pStyle w:val="Pieddepage"/>
    </w:pPr>
    <w:r>
      <w:t>Dernière modification 2021-04-21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35B7" w14:textId="77777777" w:rsidR="00EF42A1" w:rsidRDefault="00EF42A1" w:rsidP="004B77FB">
      <w:pPr>
        <w:spacing w:after="0" w:line="240" w:lineRule="auto"/>
      </w:pPr>
      <w:r>
        <w:separator/>
      </w:r>
    </w:p>
  </w:footnote>
  <w:footnote w:type="continuationSeparator" w:id="0">
    <w:p w14:paraId="6647765A" w14:textId="77777777" w:rsidR="00EF42A1" w:rsidRDefault="00EF42A1" w:rsidP="004B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953"/>
    </w:tblGrid>
    <w:tr w:rsidR="00BA76EF" w14:paraId="52BFC30B" w14:textId="77777777" w:rsidTr="00D82A64">
      <w:tc>
        <w:tcPr>
          <w:tcW w:w="4395" w:type="dxa"/>
        </w:tcPr>
        <w:p w14:paraId="251635AF" w14:textId="3C7D55EB" w:rsidR="00BA76EF" w:rsidRDefault="00BA76EF" w:rsidP="00BA76EF">
          <w:pPr>
            <w:ind w:left="-105"/>
            <w:rPr>
              <w:rFonts w:ascii="Century Gothic" w:hAnsi="Century Gothic"/>
              <w:b/>
              <w:bCs/>
              <w:color w:val="BD4931"/>
            </w:rPr>
          </w:pPr>
          <w:r w:rsidRPr="00BA76EF">
            <w:rPr>
              <w:rFonts w:ascii="Century Gothic" w:hAnsi="Century Gothic"/>
              <w:b/>
              <w:bCs/>
              <w:noProof/>
              <w:color w:val="BD4931"/>
              <w:lang w:eastAsia="fr-CA"/>
            </w:rPr>
            <w:drawing>
              <wp:inline distT="0" distB="0" distL="0" distR="0" wp14:anchorId="2F55D9DC" wp14:editId="37D52DD4">
                <wp:extent cx="1514475" cy="571500"/>
                <wp:effectExtent l="0" t="0" r="9525" b="0"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14:paraId="4DE51A33" w14:textId="77777777" w:rsidR="00BA76EF" w:rsidRPr="00BA76EF" w:rsidRDefault="00BA76EF" w:rsidP="00BA76EF">
          <w:pPr>
            <w:jc w:val="right"/>
            <w:rPr>
              <w:rFonts w:ascii="Century Gothic" w:hAnsi="Century Gothic"/>
              <w:color w:val="BD4931"/>
            </w:rPr>
          </w:pPr>
          <w:r w:rsidRPr="00BA76EF">
            <w:rPr>
              <w:rFonts w:ascii="Century Gothic" w:hAnsi="Century Gothic"/>
              <w:color w:val="BD4931"/>
            </w:rPr>
            <w:t>DEMANDE DE SOUTIEN FINANCIER </w:t>
          </w:r>
        </w:p>
        <w:p w14:paraId="60164E1E" w14:textId="544CCEE8" w:rsidR="00BA76EF" w:rsidRPr="00BA76EF" w:rsidRDefault="00A31718" w:rsidP="00BA76EF">
          <w:pPr>
            <w:jc w:val="right"/>
            <w:rPr>
              <w:rFonts w:ascii="Century Gothic" w:hAnsi="Century Gothic"/>
              <w:b/>
              <w:bCs/>
              <w:color w:val="BD4931"/>
              <w:sz w:val="32"/>
              <w:szCs w:val="32"/>
            </w:rPr>
          </w:pPr>
          <w:r>
            <w:rPr>
              <w:rFonts w:ascii="Century Gothic" w:hAnsi="Century Gothic"/>
              <w:b/>
              <w:bCs/>
              <w:color w:val="BD4931"/>
              <w:sz w:val="32"/>
              <w:szCs w:val="32"/>
            </w:rPr>
            <w:t>ESCOUADE</w:t>
          </w:r>
          <w:r w:rsidR="004371E6">
            <w:rPr>
              <w:rFonts w:ascii="Century Gothic" w:hAnsi="Century Gothic"/>
              <w:b/>
              <w:bCs/>
              <w:color w:val="BD4931"/>
              <w:sz w:val="32"/>
              <w:szCs w:val="32"/>
            </w:rPr>
            <w:t xml:space="preserve"> CULTURELLE</w:t>
          </w:r>
        </w:p>
      </w:tc>
    </w:tr>
  </w:tbl>
  <w:p w14:paraId="692B05B8" w14:textId="77777777" w:rsidR="00BA76EF" w:rsidRPr="006446F5" w:rsidRDefault="00BA76EF">
    <w:pPr>
      <w:pStyle w:val="En-tt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358"/>
    <w:multiLevelType w:val="multilevel"/>
    <w:tmpl w:val="7E7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363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621FA"/>
    <w:multiLevelType w:val="multilevel"/>
    <w:tmpl w:val="7E9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11A17"/>
    <w:multiLevelType w:val="multilevel"/>
    <w:tmpl w:val="5BA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05308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17C4E"/>
    <w:multiLevelType w:val="multilevel"/>
    <w:tmpl w:val="401C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75AAB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164"/>
    <w:multiLevelType w:val="multilevel"/>
    <w:tmpl w:val="5BA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8313A"/>
    <w:multiLevelType w:val="multilevel"/>
    <w:tmpl w:val="57D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F21EC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86759"/>
    <w:multiLevelType w:val="multilevel"/>
    <w:tmpl w:val="39C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04013"/>
    <w:multiLevelType w:val="hybridMultilevel"/>
    <w:tmpl w:val="CEAC4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49E"/>
    <w:multiLevelType w:val="multilevel"/>
    <w:tmpl w:val="660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66917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A5F39"/>
    <w:multiLevelType w:val="multilevel"/>
    <w:tmpl w:val="B02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562D7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C35C5"/>
    <w:multiLevelType w:val="hybridMultilevel"/>
    <w:tmpl w:val="2EC4A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B3E09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06486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33D57"/>
    <w:multiLevelType w:val="multilevel"/>
    <w:tmpl w:val="0A6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67003"/>
    <w:multiLevelType w:val="multilevel"/>
    <w:tmpl w:val="EAE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6571A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80618"/>
    <w:multiLevelType w:val="multilevel"/>
    <w:tmpl w:val="E164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8590D"/>
    <w:multiLevelType w:val="multilevel"/>
    <w:tmpl w:val="FFF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477FB"/>
    <w:multiLevelType w:val="multilevel"/>
    <w:tmpl w:val="572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F4C65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07D15"/>
    <w:multiLevelType w:val="multilevel"/>
    <w:tmpl w:val="D7C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B286C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1B70A5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1228E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33545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24C05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8A481D"/>
    <w:multiLevelType w:val="multilevel"/>
    <w:tmpl w:val="7EF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1510F"/>
    <w:multiLevelType w:val="multilevel"/>
    <w:tmpl w:val="EBE8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62626" w:themeColor="text1" w:themeTint="D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11882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A71E4"/>
    <w:multiLevelType w:val="multilevel"/>
    <w:tmpl w:val="BC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B535B"/>
    <w:multiLevelType w:val="multilevel"/>
    <w:tmpl w:val="0994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0"/>
  </w:num>
  <w:num w:numId="5">
    <w:abstractNumId w:val="19"/>
  </w:num>
  <w:num w:numId="6">
    <w:abstractNumId w:val="2"/>
  </w:num>
  <w:num w:numId="7">
    <w:abstractNumId w:val="36"/>
  </w:num>
  <w:num w:numId="8">
    <w:abstractNumId w:val="26"/>
  </w:num>
  <w:num w:numId="9">
    <w:abstractNumId w:val="12"/>
  </w:num>
  <w:num w:numId="10">
    <w:abstractNumId w:val="23"/>
  </w:num>
  <w:num w:numId="11">
    <w:abstractNumId w:val="24"/>
  </w:num>
  <w:num w:numId="12">
    <w:abstractNumId w:val="20"/>
  </w:num>
  <w:num w:numId="13">
    <w:abstractNumId w:val="8"/>
  </w:num>
  <w:num w:numId="14">
    <w:abstractNumId w:val="32"/>
  </w:num>
  <w:num w:numId="15">
    <w:abstractNumId w:val="14"/>
  </w:num>
  <w:num w:numId="16">
    <w:abstractNumId w:val="30"/>
  </w:num>
  <w:num w:numId="17">
    <w:abstractNumId w:val="34"/>
  </w:num>
  <w:num w:numId="18">
    <w:abstractNumId w:val="28"/>
  </w:num>
  <w:num w:numId="19">
    <w:abstractNumId w:val="13"/>
  </w:num>
  <w:num w:numId="20">
    <w:abstractNumId w:val="27"/>
  </w:num>
  <w:num w:numId="21">
    <w:abstractNumId w:val="21"/>
  </w:num>
  <w:num w:numId="22">
    <w:abstractNumId w:val="15"/>
  </w:num>
  <w:num w:numId="23">
    <w:abstractNumId w:val="1"/>
  </w:num>
  <w:num w:numId="24">
    <w:abstractNumId w:val="18"/>
  </w:num>
  <w:num w:numId="25">
    <w:abstractNumId w:val="9"/>
  </w:num>
  <w:num w:numId="26">
    <w:abstractNumId w:val="6"/>
  </w:num>
  <w:num w:numId="27">
    <w:abstractNumId w:val="35"/>
  </w:num>
  <w:num w:numId="28">
    <w:abstractNumId w:val="4"/>
  </w:num>
  <w:num w:numId="29">
    <w:abstractNumId w:val="10"/>
  </w:num>
  <w:num w:numId="30">
    <w:abstractNumId w:val="33"/>
  </w:num>
  <w:num w:numId="31">
    <w:abstractNumId w:val="31"/>
  </w:num>
  <w:num w:numId="32">
    <w:abstractNumId w:val="17"/>
  </w:num>
  <w:num w:numId="33">
    <w:abstractNumId w:val="29"/>
  </w:num>
  <w:num w:numId="34">
    <w:abstractNumId w:val="25"/>
  </w:num>
  <w:num w:numId="35">
    <w:abstractNumId w:val="11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9"/>
    <w:rsid w:val="00052DA5"/>
    <w:rsid w:val="000A40A4"/>
    <w:rsid w:val="000B7FE0"/>
    <w:rsid w:val="000C459A"/>
    <w:rsid w:val="000C5161"/>
    <w:rsid w:val="000D0B0A"/>
    <w:rsid w:val="000D228C"/>
    <w:rsid w:val="000F5D08"/>
    <w:rsid w:val="001264BE"/>
    <w:rsid w:val="001370A9"/>
    <w:rsid w:val="00166A8A"/>
    <w:rsid w:val="001C161E"/>
    <w:rsid w:val="001C4597"/>
    <w:rsid w:val="001E380D"/>
    <w:rsid w:val="00222939"/>
    <w:rsid w:val="00271619"/>
    <w:rsid w:val="002E3589"/>
    <w:rsid w:val="00341781"/>
    <w:rsid w:val="00353BED"/>
    <w:rsid w:val="00362829"/>
    <w:rsid w:val="00370165"/>
    <w:rsid w:val="00381AE5"/>
    <w:rsid w:val="003B0475"/>
    <w:rsid w:val="003C1F72"/>
    <w:rsid w:val="003D69E2"/>
    <w:rsid w:val="003F4458"/>
    <w:rsid w:val="004371E6"/>
    <w:rsid w:val="004877AB"/>
    <w:rsid w:val="004B77FB"/>
    <w:rsid w:val="004D2A72"/>
    <w:rsid w:val="00534DE0"/>
    <w:rsid w:val="00544AB2"/>
    <w:rsid w:val="005A03B9"/>
    <w:rsid w:val="005C02B8"/>
    <w:rsid w:val="005F4128"/>
    <w:rsid w:val="005F5115"/>
    <w:rsid w:val="00610307"/>
    <w:rsid w:val="00632F25"/>
    <w:rsid w:val="006446F5"/>
    <w:rsid w:val="006450CB"/>
    <w:rsid w:val="00653249"/>
    <w:rsid w:val="00654423"/>
    <w:rsid w:val="006717A7"/>
    <w:rsid w:val="00681961"/>
    <w:rsid w:val="006A0F27"/>
    <w:rsid w:val="006A4942"/>
    <w:rsid w:val="006E59B3"/>
    <w:rsid w:val="0070267C"/>
    <w:rsid w:val="007918D8"/>
    <w:rsid w:val="007A359F"/>
    <w:rsid w:val="007D6F99"/>
    <w:rsid w:val="007E7005"/>
    <w:rsid w:val="00812C2B"/>
    <w:rsid w:val="00823097"/>
    <w:rsid w:val="00827096"/>
    <w:rsid w:val="00855DC1"/>
    <w:rsid w:val="008577F6"/>
    <w:rsid w:val="00864518"/>
    <w:rsid w:val="00886338"/>
    <w:rsid w:val="008A61F7"/>
    <w:rsid w:val="008B5278"/>
    <w:rsid w:val="008C323E"/>
    <w:rsid w:val="008D73EC"/>
    <w:rsid w:val="009019C9"/>
    <w:rsid w:val="009027E3"/>
    <w:rsid w:val="0096716D"/>
    <w:rsid w:val="00967F3F"/>
    <w:rsid w:val="00997A1A"/>
    <w:rsid w:val="009A284C"/>
    <w:rsid w:val="009B43D4"/>
    <w:rsid w:val="009E615A"/>
    <w:rsid w:val="00A12F81"/>
    <w:rsid w:val="00A31718"/>
    <w:rsid w:val="00A33C82"/>
    <w:rsid w:val="00A55A9F"/>
    <w:rsid w:val="00AD2EEC"/>
    <w:rsid w:val="00AD67FC"/>
    <w:rsid w:val="00B02D5B"/>
    <w:rsid w:val="00B307A6"/>
    <w:rsid w:val="00B41284"/>
    <w:rsid w:val="00B723D9"/>
    <w:rsid w:val="00BA56FB"/>
    <w:rsid w:val="00BA76EF"/>
    <w:rsid w:val="00BB3CBA"/>
    <w:rsid w:val="00BB69AD"/>
    <w:rsid w:val="00C120E3"/>
    <w:rsid w:val="00C211A1"/>
    <w:rsid w:val="00C543DD"/>
    <w:rsid w:val="00C74EF5"/>
    <w:rsid w:val="00C85CE4"/>
    <w:rsid w:val="00CA4DA7"/>
    <w:rsid w:val="00D05E57"/>
    <w:rsid w:val="00D34F8E"/>
    <w:rsid w:val="00D36A42"/>
    <w:rsid w:val="00D5038C"/>
    <w:rsid w:val="00D65A1D"/>
    <w:rsid w:val="00D82A64"/>
    <w:rsid w:val="00DB7AF9"/>
    <w:rsid w:val="00DD0353"/>
    <w:rsid w:val="00E30321"/>
    <w:rsid w:val="00E343B0"/>
    <w:rsid w:val="00E35D10"/>
    <w:rsid w:val="00E57167"/>
    <w:rsid w:val="00EA5EBF"/>
    <w:rsid w:val="00EB301B"/>
    <w:rsid w:val="00EB7E22"/>
    <w:rsid w:val="00EF42A1"/>
    <w:rsid w:val="00F16010"/>
    <w:rsid w:val="00F27442"/>
    <w:rsid w:val="00F3584B"/>
    <w:rsid w:val="00F466BB"/>
    <w:rsid w:val="00F52E9D"/>
    <w:rsid w:val="00F77FE3"/>
    <w:rsid w:val="00FB6618"/>
    <w:rsid w:val="00FC09C8"/>
    <w:rsid w:val="00FF2630"/>
    <w:rsid w:val="5206D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15EF840"/>
  <w15:chartTrackingRefBased/>
  <w15:docId w15:val="{0F62ACCA-D973-4CFB-9C57-207323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5A03B9"/>
  </w:style>
  <w:style w:type="paragraph" w:styleId="Paragraphedeliste">
    <w:name w:val="List Paragraph"/>
    <w:basedOn w:val="Normal"/>
    <w:uiPriority w:val="34"/>
    <w:qFormat/>
    <w:rsid w:val="005A03B9"/>
    <w:pPr>
      <w:ind w:left="720"/>
      <w:contextualSpacing/>
    </w:pPr>
  </w:style>
  <w:style w:type="paragraph" w:customStyle="1" w:styleId="04xlpa">
    <w:name w:val="_04xlpa"/>
    <w:basedOn w:val="Normal"/>
    <w:rsid w:val="005A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B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FB"/>
  </w:style>
  <w:style w:type="paragraph" w:styleId="Pieddepage">
    <w:name w:val="footer"/>
    <w:basedOn w:val="Normal"/>
    <w:link w:val="PieddepageCar"/>
    <w:uiPriority w:val="99"/>
    <w:unhideWhenUsed/>
    <w:rsid w:val="004B7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FB"/>
  </w:style>
  <w:style w:type="paragraph" w:styleId="NormalWeb">
    <w:name w:val="Normal (Web)"/>
    <w:basedOn w:val="Normal"/>
    <w:uiPriority w:val="99"/>
    <w:unhideWhenUsed/>
    <w:rsid w:val="00D6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577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7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7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7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7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7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43D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43D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@ccat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3C17F-988E-4CCF-AD33-857EF8CF59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9289d3-4d76-4338-8532-64dc2d6b1554"/>
    <ds:schemaRef ds:uri="http://schemas.microsoft.com/office/2006/metadata/properties"/>
    <ds:schemaRef ds:uri="http://schemas.microsoft.com/office/2006/documentManagement/types"/>
    <ds:schemaRef ds:uri="http://purl.org/dc/elements/1.1/"/>
    <ds:schemaRef ds:uri="1d9c4382-5443-433b-ba73-4779f371c73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3B2B96-A75D-4987-9DD0-CD13B0308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81DF3-FD0F-4CD4-BAD2-F880FAF21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4382-5443-433b-ba73-4779f371c735"/>
    <ds:schemaRef ds:uri="8d9289d3-4d76-4338-8532-64dc2d6b1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mafortinp@gmail.com</dc:creator>
  <cp:keywords/>
  <dc:description/>
  <cp:lastModifiedBy>Marie-Aimée Fortin-Picard</cp:lastModifiedBy>
  <cp:revision>5</cp:revision>
  <dcterms:created xsi:type="dcterms:W3CDTF">2021-03-16T14:59:00Z</dcterms:created>
  <dcterms:modified xsi:type="dcterms:W3CDTF">2021-04-22T19:48:00Z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